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auto"/>
          <w:sz w:val="72"/>
          <w:szCs w:val="72"/>
        </w:rPr>
      </w:pPr>
      <w:bookmarkStart w:id="1" w:name="_Toc15396475"/>
      <w:bookmarkStart w:id="2" w:name="_Toc15396597"/>
      <w:bookmarkStart w:id="3" w:name="_Toc15377425"/>
      <w:bookmarkStart w:id="4" w:name="_Toc15377193"/>
      <w:bookmarkStart w:id="5" w:name="_Toc15378441"/>
      <w:r>
        <w:rPr>
          <w:rFonts w:ascii="黑体" w:hAnsi="黑体" w:eastAsia="黑体"/>
          <w:color w:val="auto"/>
          <w:sz w:val="72"/>
          <w:szCs w:val="72"/>
        </w:rPr>
        <w:t>20</w:t>
      </w:r>
      <w:r>
        <w:rPr>
          <w:rFonts w:hint="eastAsia" w:ascii="黑体" w:hAnsi="黑体" w:eastAsia="黑体"/>
          <w:color w:val="auto"/>
          <w:sz w:val="72"/>
          <w:szCs w:val="72"/>
          <w:lang w:val="en-US" w:eastAsia="zh-CN"/>
        </w:rPr>
        <w:t>20</w:t>
      </w:r>
      <w:r>
        <w:rPr>
          <w:rFonts w:hint="eastAsia" w:ascii="方正小标宋简体" w:hAnsi="宋体" w:eastAsia="方正小标宋简体"/>
          <w:color w:val="auto"/>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auto"/>
          <w:sz w:val="52"/>
          <w:szCs w:val="52"/>
          <w:lang w:val="en-US" w:eastAsia="zh-CN"/>
        </w:rPr>
      </w:pPr>
      <w:bookmarkStart w:id="6" w:name="_Toc15377194"/>
      <w:bookmarkStart w:id="7" w:name="_Toc15396476"/>
      <w:bookmarkStart w:id="8" w:name="_Toc15377426"/>
      <w:bookmarkStart w:id="9" w:name="_Toc15396598"/>
      <w:bookmarkStart w:id="10" w:name="_Toc15378442"/>
      <w:r>
        <w:rPr>
          <w:rFonts w:hint="eastAsia" w:ascii="方正小标宋简体" w:hAnsi="宋体" w:eastAsia="方正小标宋简体"/>
          <w:color w:val="auto"/>
          <w:sz w:val="52"/>
          <w:szCs w:val="52"/>
        </w:rPr>
        <w:t>四川省</w:t>
      </w:r>
      <w:bookmarkEnd w:id="0"/>
      <w:bookmarkStart w:id="11" w:name="_Toc15306268"/>
      <w:r>
        <w:rPr>
          <w:rFonts w:hint="eastAsia" w:ascii="方正小标宋简体" w:hAnsi="宋体" w:eastAsia="方正小标宋简体"/>
          <w:color w:val="auto"/>
          <w:sz w:val="52"/>
          <w:szCs w:val="52"/>
          <w:lang w:val="en-US" w:eastAsia="zh-CN"/>
        </w:rPr>
        <w:t>曲艺研究院</w:t>
      </w:r>
    </w:p>
    <w:p>
      <w:pPr>
        <w:adjustRightInd w:val="0"/>
        <w:snapToGrid w:val="0"/>
        <w:spacing w:line="360" w:lineRule="auto"/>
        <w:jc w:val="center"/>
        <w:outlineLvl w:val="0"/>
        <w:rPr>
          <w:rFonts w:ascii="方正小标宋简体" w:hAnsi="宋体" w:eastAsia="方正小标宋简体"/>
          <w:color w:val="auto"/>
          <w:sz w:val="52"/>
          <w:szCs w:val="52"/>
        </w:rPr>
      </w:pPr>
      <w:r>
        <w:rPr>
          <w:rFonts w:hint="eastAsia" w:ascii="方正小标宋简体" w:hAnsi="宋体" w:eastAsia="方正小标宋简体"/>
          <w:color w:val="auto"/>
          <w:sz w:val="52"/>
          <w:szCs w:val="52"/>
          <w:shd w:val="clear" w:fill="FFFFFF" w:themeFill="background1"/>
          <w:lang w:eastAsia="zh-CN"/>
        </w:rPr>
        <w:t>单位</w:t>
      </w:r>
      <w:r>
        <w:rPr>
          <w:rFonts w:hint="eastAsia" w:ascii="方正小标宋简体" w:hAnsi="宋体" w:eastAsia="方正小标宋简体"/>
          <w:color w:val="auto"/>
          <w:sz w:val="52"/>
          <w:szCs w:val="52"/>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rPr>
      </w:pPr>
      <w:bookmarkStart w:id="67" w:name="_GoBack"/>
      <w:bookmarkEnd w:id="67"/>
    </w:p>
    <w:p>
      <w:pPr>
        <w:widowControl/>
        <w:jc w:val="center"/>
        <w:rPr>
          <w:rFonts w:ascii="黑体" w:hAnsi="黑体" w:eastAsia="黑体"/>
          <w:color w:val="auto"/>
          <w:sz w:val="48"/>
          <w:szCs w:val="48"/>
        </w:rPr>
      </w:pPr>
      <w:r>
        <w:rPr>
          <w:rFonts w:ascii="方正小标宋简体" w:hAnsi="宋体" w:eastAsia="方正小标宋简体"/>
          <w:color w:val="auto"/>
          <w:sz w:val="36"/>
          <w:szCs w:val="36"/>
        </w:rPr>
        <w:br w:type="page"/>
      </w:r>
      <w:r>
        <w:rPr>
          <w:rFonts w:hint="eastAsia" w:ascii="黑体" w:hAnsi="黑体" w:eastAsia="黑体"/>
          <w:color w:val="auto"/>
          <w:sz w:val="48"/>
          <w:szCs w:val="48"/>
        </w:rPr>
        <w:t>目录</w:t>
      </w:r>
    </w:p>
    <w:p>
      <w:pPr>
        <w:widowControl/>
        <w:jc w:val="center"/>
        <w:rPr>
          <w:rFonts w:ascii="黑体" w:hAnsi="黑体" w:eastAsia="黑体" w:cstheme="minorBidi"/>
          <w:color w:val="auto"/>
          <w:sz w:val="28"/>
          <w:szCs w:val="28"/>
        </w:rPr>
      </w:pPr>
    </w:p>
    <w:p>
      <w:pPr>
        <w:pStyle w:val="12"/>
        <w:rPr>
          <w:color w:val="auto"/>
        </w:rPr>
      </w:pPr>
      <w:r>
        <w:rPr>
          <w:rFonts w:hint="eastAsia"/>
          <w:color w:val="auto"/>
        </w:rPr>
        <w:t>公开时间：20</w:t>
      </w:r>
      <w:r>
        <w:rPr>
          <w:rFonts w:hint="eastAsia"/>
          <w:color w:val="auto"/>
          <w:lang w:val="en-US" w:eastAsia="zh-CN"/>
        </w:rPr>
        <w:t>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10</w:t>
      </w:r>
      <w:r>
        <w:rPr>
          <w:rFonts w:hint="eastAsia"/>
          <w:color w:val="auto"/>
        </w:rPr>
        <w:t>日</w:t>
      </w:r>
    </w:p>
    <w:p>
      <w:pPr>
        <w:rPr>
          <w:color w:val="auto"/>
        </w:rPr>
      </w:pPr>
    </w:p>
    <w:p>
      <w:pPr>
        <w:pStyle w:val="12"/>
        <w:adjustRightInd w:val="0"/>
        <w:snapToGrid w:val="0"/>
        <w:spacing w:before="0" w:line="440" w:lineRule="exact"/>
        <w:jc w:val="left"/>
        <w:rPr>
          <w:rFonts w:cstheme="minorBidi"/>
          <w:color w:val="auto"/>
          <w:sz w:val="24"/>
          <w:szCs w:val="24"/>
        </w:rPr>
      </w:pPr>
      <w:r>
        <w:rPr>
          <w:rFonts w:hint="eastAsia"/>
          <w:color w:val="auto"/>
          <w:sz w:val="24"/>
        </w:rPr>
        <w:t>第一部分</w:t>
      </w:r>
      <w:r>
        <w:rPr>
          <w:color w:val="auto"/>
          <w:sz w:val="24"/>
        </w:rPr>
        <w:t xml:space="preserve"> </w:t>
      </w:r>
      <w:r>
        <w:rPr>
          <w:rFonts w:hint="eastAsia"/>
          <w:color w:val="auto"/>
          <w:sz w:val="24"/>
          <w:lang w:eastAsia="zh-CN"/>
        </w:rPr>
        <w:t>单位</w:t>
      </w:r>
      <w:r>
        <w:rPr>
          <w:rFonts w:hint="eastAsia"/>
          <w:color w:val="auto"/>
          <w:sz w:val="24"/>
        </w:rPr>
        <w:t>概况</w:t>
      </w:r>
    </w:p>
    <w:p>
      <w:pPr>
        <w:pStyle w:val="13"/>
        <w:adjustRightInd w:val="0"/>
        <w:snapToGrid w:val="0"/>
        <w:spacing w:line="440" w:lineRule="exact"/>
        <w:jc w:val="left"/>
        <w:rPr>
          <w:rFonts w:hint="eastAsia" w:eastAsia="宋体"/>
          <w:color w:val="auto"/>
          <w:sz w:val="24"/>
          <w:lang w:eastAsia="zh-CN"/>
        </w:rPr>
      </w:pPr>
      <w:r>
        <w:rPr>
          <w:rFonts w:hint="eastAsia"/>
          <w:color w:val="auto"/>
          <w:sz w:val="24"/>
        </w:rPr>
        <w:t>一、职能</w:t>
      </w:r>
      <w:r>
        <w:rPr>
          <w:rFonts w:hint="eastAsia"/>
          <w:color w:val="auto"/>
          <w:sz w:val="24"/>
          <w:lang w:eastAsia="zh-CN"/>
        </w:rPr>
        <w:t>简介</w:t>
      </w:r>
    </w:p>
    <w:p>
      <w:pPr>
        <w:pStyle w:val="13"/>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w:t>
      </w:r>
      <w:r>
        <w:rPr>
          <w:rFonts w:hint="eastAsia" w:asciiTheme="minorEastAsia" w:hAnsiTheme="minorEastAsia" w:eastAsiaTheme="minorEastAsia" w:cstheme="minorEastAsia"/>
          <w:color w:val="auto"/>
          <w:sz w:val="24"/>
          <w:lang w:val="en-US" w:eastAsia="zh-CN"/>
        </w:rPr>
        <w:t>2020年重点</w:t>
      </w:r>
      <w:r>
        <w:rPr>
          <w:rFonts w:hint="eastAsia" w:asciiTheme="minorEastAsia" w:hAnsiTheme="minorEastAsia" w:eastAsiaTheme="minorEastAsia" w:cstheme="minorEastAsia"/>
          <w:color w:val="auto"/>
          <w:sz w:val="24"/>
        </w:rPr>
        <w:t>工作</w:t>
      </w:r>
      <w:r>
        <w:rPr>
          <w:rFonts w:hint="eastAsia" w:asciiTheme="minorEastAsia" w:hAnsiTheme="minorEastAsia" w:eastAsiaTheme="minorEastAsia" w:cstheme="minorEastAsia"/>
          <w:color w:val="auto"/>
          <w:sz w:val="24"/>
          <w:lang w:eastAsia="zh-CN"/>
        </w:rPr>
        <w:t>完成情况</w:t>
      </w:r>
    </w:p>
    <w:p>
      <w:pPr>
        <w:pStyle w:val="12"/>
        <w:adjustRightInd w:val="0"/>
        <w:snapToGrid w:val="0"/>
        <w:spacing w:before="0" w:line="440" w:lineRule="exact"/>
        <w:jc w:val="left"/>
        <w:rPr>
          <w:color w:val="auto"/>
          <w:sz w:val="24"/>
          <w:szCs w:val="24"/>
        </w:rPr>
      </w:pPr>
      <w:r>
        <w:rPr>
          <w:rFonts w:hint="eastAsia"/>
          <w:color w:val="auto"/>
          <w:sz w:val="24"/>
        </w:rPr>
        <w:t>第二部分</w:t>
      </w:r>
      <w:r>
        <w:rPr>
          <w:rFonts w:hint="eastAsia"/>
          <w:color w:val="auto"/>
          <w:sz w:val="24"/>
          <w:lang w:val="en-US" w:eastAsia="zh-CN"/>
        </w:rPr>
        <w:t xml:space="preserve"> 2020年度</w:t>
      </w:r>
      <w:r>
        <w:rPr>
          <w:rFonts w:hint="eastAsia"/>
          <w:color w:val="auto"/>
          <w:sz w:val="24"/>
        </w:rPr>
        <w:t>部门决算情况说明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一、收入支出决算总体情况说明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二、收入决算情况说明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三、支出决算情况说明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四、财政拨款收入支出决算总体情况说明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五、一般公共预算财政拨款支出决算情况说明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六、一般公共预算财政拨款基本支出决算情况说明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七、</w:t>
      </w:r>
      <w:r>
        <w:rPr>
          <w:color w:val="auto"/>
          <w:sz w:val="24"/>
        </w:rPr>
        <w:t>“</w:t>
      </w:r>
      <w:r>
        <w:rPr>
          <w:rFonts w:hint="eastAsia"/>
          <w:color w:val="auto"/>
          <w:sz w:val="24"/>
        </w:rPr>
        <w:t>三公”经费财政拨款支出决算情况说明</w:t>
      </w:r>
    </w:p>
    <w:p>
      <w:pPr>
        <w:pStyle w:val="13"/>
        <w:adjustRightInd w:val="0"/>
        <w:snapToGrid w:val="0"/>
        <w:spacing w:line="440" w:lineRule="exact"/>
        <w:jc w:val="left"/>
        <w:rPr>
          <w:rFonts w:ascii="仿宋" w:hAnsi="仿宋" w:eastAsia="仿宋" w:cstheme="minorBidi"/>
          <w:color w:val="auto"/>
          <w:sz w:val="24"/>
        </w:rPr>
      </w:pPr>
      <w:r>
        <w:rPr>
          <w:rFonts w:hint="eastAsia"/>
          <w:color w:val="auto"/>
          <w:sz w:val="24"/>
        </w:rPr>
        <w:t>八、政府性基金预算支出决算情况说明</w:t>
      </w:r>
    </w:p>
    <w:p>
      <w:pPr>
        <w:pStyle w:val="13"/>
        <w:adjustRightInd w:val="0"/>
        <w:snapToGrid w:val="0"/>
        <w:spacing w:line="440" w:lineRule="exact"/>
        <w:jc w:val="left"/>
        <w:rPr>
          <w:rFonts w:hint="eastAsia"/>
          <w:color w:val="auto"/>
          <w:sz w:val="24"/>
        </w:rPr>
      </w:pPr>
      <w:r>
        <w:rPr>
          <w:rFonts w:hint="eastAsia"/>
          <w:color w:val="auto"/>
          <w:sz w:val="24"/>
        </w:rPr>
        <w:t>九、国有资本经营预算支出决算情况说明</w:t>
      </w:r>
    </w:p>
    <w:p>
      <w:pPr>
        <w:pStyle w:val="13"/>
        <w:adjustRightInd w:val="0"/>
        <w:snapToGrid w:val="0"/>
        <w:spacing w:line="440" w:lineRule="exact"/>
        <w:jc w:val="left"/>
        <w:rPr>
          <w:rFonts w:hint="eastAsia"/>
          <w:color w:val="auto"/>
          <w:sz w:val="24"/>
          <w:lang w:eastAsia="zh-CN"/>
        </w:rPr>
      </w:pPr>
      <w:r>
        <w:rPr>
          <w:rFonts w:hint="eastAsia"/>
          <w:color w:val="auto"/>
          <w:sz w:val="24"/>
        </w:rPr>
        <w:t>十、其他重要事项的情况说明</w:t>
      </w:r>
    </w:p>
    <w:p>
      <w:pPr>
        <w:pStyle w:val="12"/>
        <w:adjustRightInd w:val="0"/>
        <w:snapToGrid w:val="0"/>
        <w:spacing w:before="0" w:line="440" w:lineRule="exact"/>
        <w:jc w:val="left"/>
        <w:rPr>
          <w:rFonts w:cstheme="minorBidi"/>
          <w:color w:val="auto"/>
          <w:sz w:val="24"/>
          <w:szCs w:val="24"/>
        </w:rPr>
      </w:pPr>
      <w:r>
        <w:rPr>
          <w:rFonts w:hint="eastAsia"/>
          <w:color w:val="auto"/>
          <w:sz w:val="24"/>
        </w:rPr>
        <w:t>第三部分</w:t>
      </w:r>
      <w:r>
        <w:rPr>
          <w:color w:val="auto"/>
          <w:sz w:val="24"/>
        </w:rPr>
        <w:t xml:space="preserve"> </w:t>
      </w:r>
      <w:r>
        <w:rPr>
          <w:rFonts w:hint="eastAsia"/>
          <w:color w:val="auto"/>
          <w:sz w:val="24"/>
        </w:rPr>
        <w:t>名词解释</w:t>
      </w:r>
    </w:p>
    <w:p>
      <w:pPr>
        <w:pStyle w:val="12"/>
        <w:adjustRightInd w:val="0"/>
        <w:snapToGrid w:val="0"/>
        <w:spacing w:before="0" w:line="440" w:lineRule="exact"/>
        <w:jc w:val="left"/>
        <w:rPr>
          <w:rFonts w:cstheme="minorBidi"/>
          <w:color w:val="auto"/>
          <w:sz w:val="24"/>
          <w:szCs w:val="24"/>
        </w:rPr>
      </w:pPr>
      <w:r>
        <w:rPr>
          <w:rFonts w:hint="eastAsia"/>
          <w:color w:val="auto"/>
          <w:sz w:val="24"/>
        </w:rPr>
        <w:t>第四部分</w:t>
      </w:r>
      <w:r>
        <w:rPr>
          <w:color w:val="auto"/>
          <w:sz w:val="24"/>
        </w:rPr>
        <w:t xml:space="preserve"> </w:t>
      </w:r>
      <w:r>
        <w:rPr>
          <w:rFonts w:hint="eastAsia"/>
          <w:color w:val="auto"/>
          <w:sz w:val="24"/>
        </w:rPr>
        <w:t>附件</w:t>
      </w:r>
    </w:p>
    <w:p>
      <w:pPr>
        <w:pStyle w:val="12"/>
        <w:adjustRightInd w:val="0"/>
        <w:snapToGrid w:val="0"/>
        <w:spacing w:before="0" w:line="440" w:lineRule="exact"/>
        <w:jc w:val="left"/>
        <w:rPr>
          <w:rFonts w:cstheme="minorBidi"/>
          <w:color w:val="auto"/>
          <w:sz w:val="24"/>
          <w:szCs w:val="24"/>
        </w:rPr>
      </w:pPr>
      <w:r>
        <w:rPr>
          <w:rFonts w:hint="eastAsia"/>
          <w:color w:val="auto"/>
          <w:sz w:val="24"/>
        </w:rPr>
        <w:t>第五部分</w:t>
      </w:r>
      <w:r>
        <w:rPr>
          <w:color w:val="auto"/>
          <w:sz w:val="24"/>
        </w:rPr>
        <w:t xml:space="preserve"> </w:t>
      </w:r>
      <w:r>
        <w:rPr>
          <w:rFonts w:hint="eastAsia"/>
          <w:color w:val="auto"/>
          <w:sz w:val="24"/>
        </w:rPr>
        <w:t>附表</w:t>
      </w:r>
    </w:p>
    <w:p>
      <w:pPr>
        <w:pStyle w:val="13"/>
        <w:adjustRightInd w:val="0"/>
        <w:snapToGrid w:val="0"/>
        <w:spacing w:line="440" w:lineRule="exact"/>
        <w:jc w:val="left"/>
        <w:rPr>
          <w:rFonts w:hint="eastAsia"/>
          <w:color w:val="auto"/>
          <w:sz w:val="24"/>
        </w:rPr>
      </w:pPr>
      <w:r>
        <w:rPr>
          <w:rFonts w:hint="eastAsia"/>
          <w:color w:val="auto"/>
          <w:sz w:val="24"/>
        </w:rPr>
        <w:t>一、收入支出决算总表</w:t>
      </w:r>
    </w:p>
    <w:p>
      <w:pPr>
        <w:pStyle w:val="13"/>
        <w:adjustRightInd w:val="0"/>
        <w:snapToGrid w:val="0"/>
        <w:spacing w:line="440" w:lineRule="exact"/>
        <w:jc w:val="left"/>
        <w:rPr>
          <w:rFonts w:hint="eastAsia"/>
          <w:color w:val="auto"/>
          <w:sz w:val="24"/>
        </w:rPr>
      </w:pPr>
      <w:r>
        <w:rPr>
          <w:rFonts w:hint="eastAsia"/>
          <w:color w:val="auto"/>
          <w:sz w:val="24"/>
        </w:rPr>
        <w:t>二、收入决算表</w:t>
      </w:r>
    </w:p>
    <w:p>
      <w:pPr>
        <w:pStyle w:val="13"/>
        <w:adjustRightInd w:val="0"/>
        <w:snapToGrid w:val="0"/>
        <w:spacing w:line="440" w:lineRule="exact"/>
        <w:jc w:val="left"/>
        <w:rPr>
          <w:rFonts w:hint="eastAsia"/>
          <w:color w:val="auto"/>
          <w:sz w:val="24"/>
        </w:rPr>
      </w:pPr>
      <w:r>
        <w:rPr>
          <w:rFonts w:hint="eastAsia"/>
          <w:color w:val="auto"/>
          <w:sz w:val="24"/>
        </w:rPr>
        <w:t>三、支出决算表</w:t>
      </w:r>
    </w:p>
    <w:p>
      <w:pPr>
        <w:pStyle w:val="13"/>
        <w:adjustRightInd w:val="0"/>
        <w:snapToGrid w:val="0"/>
        <w:spacing w:line="440" w:lineRule="exact"/>
        <w:jc w:val="left"/>
        <w:rPr>
          <w:rFonts w:hint="eastAsia"/>
          <w:color w:val="auto"/>
          <w:sz w:val="24"/>
        </w:rPr>
      </w:pPr>
      <w:r>
        <w:rPr>
          <w:rFonts w:hint="eastAsia"/>
          <w:color w:val="auto"/>
          <w:sz w:val="24"/>
        </w:rPr>
        <w:t>四、财政拨款收入支出决算总表</w:t>
      </w:r>
    </w:p>
    <w:p>
      <w:pPr>
        <w:pStyle w:val="13"/>
        <w:adjustRightInd w:val="0"/>
        <w:snapToGrid w:val="0"/>
        <w:spacing w:line="440" w:lineRule="exact"/>
        <w:jc w:val="left"/>
        <w:rPr>
          <w:rFonts w:hint="eastAsia"/>
          <w:color w:val="auto"/>
          <w:sz w:val="24"/>
        </w:rPr>
      </w:pPr>
      <w:r>
        <w:rPr>
          <w:rFonts w:hint="eastAsia"/>
          <w:color w:val="auto"/>
          <w:sz w:val="24"/>
        </w:rPr>
        <w:t>五、财政拨款支出决算明细表</w:t>
      </w:r>
    </w:p>
    <w:p>
      <w:pPr>
        <w:pStyle w:val="13"/>
        <w:adjustRightInd w:val="0"/>
        <w:snapToGrid w:val="0"/>
        <w:spacing w:line="440" w:lineRule="exact"/>
        <w:jc w:val="left"/>
        <w:rPr>
          <w:rFonts w:hint="eastAsia"/>
          <w:color w:val="auto"/>
          <w:sz w:val="24"/>
        </w:rPr>
      </w:pPr>
      <w:r>
        <w:rPr>
          <w:rFonts w:hint="eastAsia"/>
          <w:color w:val="auto"/>
          <w:sz w:val="24"/>
        </w:rPr>
        <w:t>六、一般公共预算财政拨款支出决算表</w:t>
      </w:r>
    </w:p>
    <w:p>
      <w:pPr>
        <w:pStyle w:val="13"/>
        <w:adjustRightInd w:val="0"/>
        <w:snapToGrid w:val="0"/>
        <w:spacing w:line="440" w:lineRule="exact"/>
        <w:jc w:val="left"/>
        <w:rPr>
          <w:rFonts w:hint="eastAsia"/>
          <w:color w:val="auto"/>
          <w:sz w:val="24"/>
        </w:rPr>
      </w:pPr>
      <w:r>
        <w:rPr>
          <w:rFonts w:hint="eastAsia"/>
          <w:color w:val="auto"/>
          <w:sz w:val="24"/>
        </w:rPr>
        <w:t>七、一般公共预算财政拨款支出决算明细表</w:t>
      </w:r>
    </w:p>
    <w:p>
      <w:pPr>
        <w:pStyle w:val="13"/>
        <w:adjustRightInd w:val="0"/>
        <w:snapToGrid w:val="0"/>
        <w:spacing w:line="440" w:lineRule="exact"/>
        <w:jc w:val="left"/>
        <w:rPr>
          <w:rFonts w:hint="eastAsia"/>
          <w:color w:val="auto"/>
          <w:sz w:val="24"/>
        </w:rPr>
      </w:pPr>
      <w:r>
        <w:rPr>
          <w:rFonts w:hint="eastAsia"/>
          <w:color w:val="auto"/>
          <w:sz w:val="24"/>
        </w:rPr>
        <w:t>八、一般公共预算财政拨款基本支出决算表</w:t>
      </w:r>
    </w:p>
    <w:p>
      <w:pPr>
        <w:pStyle w:val="13"/>
        <w:adjustRightInd w:val="0"/>
        <w:snapToGrid w:val="0"/>
        <w:spacing w:line="440" w:lineRule="exact"/>
        <w:jc w:val="left"/>
        <w:rPr>
          <w:rFonts w:hint="eastAsia"/>
          <w:color w:val="auto"/>
          <w:sz w:val="24"/>
        </w:rPr>
      </w:pPr>
      <w:r>
        <w:rPr>
          <w:rFonts w:hint="eastAsia"/>
          <w:color w:val="auto"/>
          <w:sz w:val="24"/>
        </w:rPr>
        <w:t>九、一般公共预算财政拨款项目支出决算表</w:t>
      </w:r>
    </w:p>
    <w:p>
      <w:pPr>
        <w:pStyle w:val="13"/>
        <w:adjustRightInd w:val="0"/>
        <w:snapToGrid w:val="0"/>
        <w:spacing w:line="440" w:lineRule="exact"/>
        <w:jc w:val="left"/>
        <w:rPr>
          <w:rFonts w:hint="eastAsia"/>
          <w:color w:val="auto"/>
          <w:sz w:val="24"/>
        </w:rPr>
      </w:pPr>
      <w:r>
        <w:rPr>
          <w:rFonts w:hint="eastAsia"/>
          <w:color w:val="auto"/>
          <w:sz w:val="24"/>
        </w:rPr>
        <w:t>十、一般公共预算财政拨款“三公”经费支出决算表</w:t>
      </w:r>
    </w:p>
    <w:p>
      <w:pPr>
        <w:pStyle w:val="13"/>
        <w:adjustRightInd w:val="0"/>
        <w:snapToGrid w:val="0"/>
        <w:spacing w:line="440" w:lineRule="exact"/>
        <w:jc w:val="left"/>
        <w:rPr>
          <w:rFonts w:hint="eastAsia"/>
          <w:color w:val="auto"/>
          <w:sz w:val="24"/>
        </w:rPr>
      </w:pPr>
      <w:r>
        <w:rPr>
          <w:rFonts w:hint="eastAsia"/>
          <w:color w:val="auto"/>
          <w:sz w:val="24"/>
        </w:rPr>
        <w:t>十一、政府性基金预算财政拨款收入支出决算表</w:t>
      </w:r>
    </w:p>
    <w:p>
      <w:pPr>
        <w:pStyle w:val="13"/>
        <w:adjustRightInd w:val="0"/>
        <w:snapToGrid w:val="0"/>
        <w:spacing w:line="440" w:lineRule="exact"/>
        <w:jc w:val="left"/>
        <w:rPr>
          <w:rFonts w:hint="eastAsia"/>
          <w:color w:val="auto"/>
          <w:sz w:val="24"/>
        </w:rPr>
      </w:pPr>
      <w:r>
        <w:rPr>
          <w:rFonts w:hint="eastAsia"/>
          <w:color w:val="auto"/>
          <w:sz w:val="24"/>
        </w:rPr>
        <w:t>十二、政府性基金预算财政拨款“三公”经费支出决算表</w:t>
      </w:r>
    </w:p>
    <w:p>
      <w:pPr>
        <w:pStyle w:val="13"/>
        <w:adjustRightInd w:val="0"/>
        <w:snapToGrid w:val="0"/>
        <w:spacing w:line="440" w:lineRule="exact"/>
        <w:jc w:val="left"/>
        <w:rPr>
          <w:rFonts w:hint="eastAsia"/>
          <w:color w:val="auto"/>
          <w:sz w:val="24"/>
        </w:rPr>
      </w:pPr>
      <w:r>
        <w:rPr>
          <w:rFonts w:hint="eastAsia"/>
          <w:color w:val="auto"/>
          <w:sz w:val="24"/>
        </w:rPr>
        <w:t>十三、国有资本经营预算</w:t>
      </w:r>
      <w:r>
        <w:rPr>
          <w:rFonts w:hint="eastAsia"/>
          <w:color w:val="auto"/>
          <w:sz w:val="24"/>
          <w:lang w:eastAsia="zh-CN"/>
        </w:rPr>
        <w:t>财政拨款收入</w:t>
      </w:r>
      <w:r>
        <w:rPr>
          <w:rFonts w:hint="eastAsia"/>
          <w:color w:val="auto"/>
          <w:sz w:val="24"/>
        </w:rPr>
        <w:t>支出决算表</w:t>
      </w:r>
    </w:p>
    <w:p>
      <w:pPr>
        <w:pStyle w:val="13"/>
        <w:adjustRightInd w:val="0"/>
        <w:snapToGrid w:val="0"/>
        <w:spacing w:line="440" w:lineRule="exact"/>
        <w:jc w:val="left"/>
        <w:rPr>
          <w:rFonts w:hint="default"/>
          <w:color w:val="auto"/>
          <w:sz w:val="24"/>
          <w:lang w:val="en-US" w:eastAsia="zh-CN"/>
        </w:rPr>
      </w:pPr>
      <w:r>
        <w:rPr>
          <w:rFonts w:hint="eastAsia"/>
          <w:color w:val="auto"/>
          <w:sz w:val="24"/>
          <w:lang w:val="en-US" w:eastAsia="zh-CN"/>
        </w:rPr>
        <w:t>十四、国有资本经营预算财政拨款支出决算表</w:t>
      </w:r>
    </w:p>
    <w:p>
      <w:pPr>
        <w:widowControl/>
        <w:spacing w:line="440" w:lineRule="exact"/>
        <w:jc w:val="left"/>
        <w:rPr>
          <w:rFonts w:ascii="仿宋" w:hAnsi="仿宋" w:eastAsia="仿宋"/>
          <w:bCs/>
          <w:color w:val="auto"/>
          <w:kern w:val="44"/>
          <w:sz w:val="24"/>
        </w:rPr>
      </w:pPr>
      <w:bookmarkStart w:id="12" w:name="_Toc15396599"/>
      <w:bookmarkStart w:id="13" w:name="_Toc15377196"/>
      <w:r>
        <w:rPr>
          <w:rFonts w:ascii="仿宋" w:hAnsi="仿宋" w:eastAsia="仿宋"/>
          <w:b/>
          <w:color w:val="auto"/>
          <w:sz w:val="24"/>
        </w:rPr>
        <w:br w:type="page"/>
      </w:r>
    </w:p>
    <w:p>
      <w:pPr>
        <w:pStyle w:val="3"/>
        <w:jc w:val="center"/>
        <w:rPr>
          <w:rStyle w:val="27"/>
          <w:rFonts w:ascii="黑体" w:hAnsi="黑体" w:eastAsia="黑体"/>
          <w:b/>
          <w:bCs w:val="0"/>
          <w:color w:val="auto"/>
        </w:rPr>
      </w:pPr>
      <w:r>
        <w:rPr>
          <w:rFonts w:hint="eastAsia" w:ascii="黑体" w:hAnsi="黑体" w:eastAsia="黑体"/>
          <w:b w:val="0"/>
          <w:color w:val="auto"/>
        </w:rPr>
        <w:t xml:space="preserve">第一部分 </w:t>
      </w:r>
      <w:r>
        <w:rPr>
          <w:rFonts w:hint="eastAsia" w:ascii="黑体" w:hAnsi="黑体" w:eastAsia="黑体"/>
          <w:b w:val="0"/>
          <w:color w:val="auto"/>
          <w:lang w:eastAsia="zh-CN"/>
        </w:rPr>
        <w:t>单位</w:t>
      </w:r>
      <w:r>
        <w:rPr>
          <w:rStyle w:val="27"/>
          <w:rFonts w:hint="eastAsia" w:ascii="黑体" w:hAnsi="黑体" w:eastAsia="黑体"/>
          <w:b w:val="0"/>
          <w:bCs w:val="0"/>
          <w:color w:val="auto"/>
        </w:rPr>
        <w:t>概况</w:t>
      </w:r>
      <w:bookmarkEnd w:id="12"/>
      <w:bookmarkEnd w:id="13"/>
    </w:p>
    <w:p>
      <w:pPr>
        <w:pStyle w:val="4"/>
        <w:numPr>
          <w:ilvl w:val="0"/>
          <w:numId w:val="1"/>
        </w:numPr>
        <w:rPr>
          <w:rFonts w:hint="eastAsia"/>
          <w:color w:val="auto"/>
        </w:rPr>
      </w:pPr>
      <w:bookmarkStart w:id="14" w:name="_Toc15396600"/>
      <w:bookmarkStart w:id="15" w:name="_Toc15377197"/>
      <w:r>
        <w:rPr>
          <w:rStyle w:val="28"/>
          <w:rFonts w:hint="eastAsia" w:ascii="黑体" w:hAnsi="黑体" w:eastAsia="黑体"/>
          <w:b w:val="0"/>
          <w:bCs w:val="0"/>
          <w:color w:val="auto"/>
        </w:rPr>
        <w:t>职能</w:t>
      </w:r>
      <w:r>
        <w:rPr>
          <w:rStyle w:val="28"/>
          <w:rFonts w:hint="eastAsia" w:ascii="黑体" w:hAnsi="黑体" w:eastAsia="黑体"/>
          <w:b w:val="0"/>
          <w:bCs w:val="0"/>
          <w:color w:val="auto"/>
          <w:lang w:eastAsia="zh-CN"/>
        </w:rPr>
        <w:t>简介</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四川省曲艺研究院是一个集四川曲艺的传承、保护、创演、研究等为一体的综合性省级文艺单位。主要传承、表演、研究项目包括清音、扬琴、竹琴、金钱板、谐剧等十余个国家级和四川省级非遗种类，以及小品、散打评书、民族声乐、民族器乐、四川方言剧、四川曲剧等。</w:t>
      </w:r>
    </w:p>
    <w:p>
      <w:pPr>
        <w:pStyle w:val="4"/>
        <w:numPr>
          <w:ilvl w:val="0"/>
          <w:numId w:val="1"/>
        </w:numPr>
        <w:rPr>
          <w:rFonts w:hint="eastAsia" w:ascii="黑体" w:hAnsi="黑体" w:eastAsia="黑体"/>
          <w:b w:val="0"/>
          <w:color w:val="auto"/>
        </w:rPr>
      </w:pPr>
      <w:r>
        <w:rPr>
          <w:rFonts w:hint="eastAsia" w:ascii="黑体" w:hAnsi="黑体" w:eastAsia="黑体"/>
          <w:b w:val="0"/>
          <w:color w:val="auto"/>
          <w:lang w:val="en-US" w:eastAsia="zh-CN"/>
        </w:rPr>
        <w:t>2020年重点</w:t>
      </w:r>
      <w:r>
        <w:rPr>
          <w:rFonts w:hint="eastAsia" w:ascii="黑体" w:hAnsi="黑体" w:eastAsia="黑体"/>
          <w:b w:val="0"/>
          <w:color w:val="auto"/>
        </w:rPr>
        <w:t>工作</w:t>
      </w:r>
      <w:bookmarkEnd w:id="14"/>
      <w:bookmarkEnd w:id="15"/>
      <w:r>
        <w:rPr>
          <w:rFonts w:hint="eastAsia" w:ascii="黑体" w:hAnsi="黑体" w:eastAsia="黑体"/>
          <w:b w:val="0"/>
          <w:color w:val="auto"/>
          <w:lang w:eastAsia="zh-CN"/>
        </w:rPr>
        <w:t>完成情况</w:t>
      </w:r>
    </w:p>
    <w:p>
      <w:pPr>
        <w:numPr>
          <w:ilvl w:val="0"/>
          <w:numId w:val="0"/>
        </w:numPr>
        <w:ind w:left="630" w:left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(一)曲艺新作品成果丰硕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2020年的春节，“新型冠状病毒”抢占了世人关注的焦点，面对这突如其来的重大疫情，习近平总书记对防控新型冠状病毒疫情工作做出重要指示。生命重于泰山，疫情就是命令，防控就是责任。我院</w:t>
      </w:r>
      <w:r>
        <w:rPr>
          <w:rFonts w:hint="eastAsia" w:ascii="仿宋_GB2312" w:eastAsia="仿宋_GB2312"/>
          <w:b w:val="0"/>
          <w:bCs w:val="0"/>
          <w:color w:val="000000"/>
          <w:sz w:val="32"/>
          <w:szCs w:val="32"/>
          <w:lang w:val="en-US" w:eastAsia="zh-CN"/>
        </w:rPr>
        <w:t>发挥曲艺独特优势，加强疫情防控宣传，</w:t>
      </w:r>
      <w:r>
        <w:rPr>
          <w:rFonts w:hint="eastAsia" w:ascii="仿宋_GB2312" w:eastAsia="仿宋_GB2312"/>
          <w:color w:val="000000"/>
          <w:sz w:val="32"/>
          <w:szCs w:val="32"/>
          <w:lang w:val="en-US" w:eastAsia="zh-CN"/>
        </w:rPr>
        <w:t>在业务上扎实创新</w:t>
      </w:r>
      <w:r>
        <w:rPr>
          <w:rFonts w:hint="eastAsia" w:ascii="仿宋_GB2312" w:eastAsia="仿宋_GB2312"/>
          <w:b w:val="0"/>
          <w:bCs w:val="0"/>
          <w:color w:val="000000"/>
          <w:sz w:val="32"/>
          <w:szCs w:val="32"/>
          <w:lang w:val="en-US" w:eastAsia="zh-CN"/>
        </w:rPr>
        <w:t>，</w:t>
      </w:r>
      <w:r>
        <w:rPr>
          <w:rFonts w:hint="eastAsia" w:ascii="仿宋_GB2312" w:eastAsia="仿宋_GB2312"/>
          <w:color w:val="000000"/>
          <w:sz w:val="32"/>
          <w:szCs w:val="32"/>
          <w:lang w:val="en-US" w:eastAsia="zh-CN"/>
        </w:rPr>
        <w:t>涌现出一批曲艺新作品。我院著名谐剧表演艺术家张旭东（叮当），创作全新作品《劝告》，向广大四川人民科普宣传日常防疫的知识；五大笑星叮当、胖姐、矮冬瓜、廖健、闵天浩纷纷录制视频，为打赢这场全民战役加油；词曲创作人吴飞新创作品《英雄保重》颂扬“抗疫”一线负重前行的英雄们。</w:t>
      </w:r>
    </w:p>
    <w:p>
      <w:pPr>
        <w:numPr>
          <w:ilvl w:val="0"/>
          <w:numId w:val="0"/>
        </w:numPr>
        <w:ind w:firstLine="320" w:firstLineChars="1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（二）特色惠民演出持续开展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1.千里送乡情，乡音暖人心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1月13日，受省委宣传部、省文旅厅委托，由我院组台的“粤川一家亲 共建大湾区　川音川情--走进广州文艺慰问演出暨2020年在粤外来务工人员团圆晚宴”活动在广州市白云区成功举行。我院联合广东省工人艺术团和宜宾市、巴中市通江县文化馆的演员们为川籍农民工带来了《过年》《老街新韵》《麻将人生》等18个精彩节目，叮当、胖姐等川人熟悉的本土明星精彩生动的表演，赢得了在场农民工朋友们阵阵喝彩，熟悉亲切、有滋有味的乡音乡情向逾千名川籍农名工观众表达了来自家乡的深切问候和新年祝福。此次活动构建起了四川与广东的友谊桥梁，丰富了当地川籍农名工的精神文化生活，唱响了自强不息、勤劳致富、创造幸福的主旋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2.曲艺“六进”活动广泛进行</w:t>
      </w:r>
    </w:p>
    <w:p>
      <w:pPr>
        <w:ind w:firstLine="643" w:firstLineChars="200"/>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（1）曲艺进乡村，丰富基层生活</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color w:val="000000"/>
          <w:sz w:val="32"/>
          <w:szCs w:val="32"/>
          <w:lang w:val="en-US" w:eastAsia="zh-CN"/>
        </w:rPr>
        <w:t>2020年1月，我院参加四川省第二十二届文化列车进乐山演出活动，把欢乐传递给群众，让群众共享文化与精神盛宴； 5月16日，我院和中共崇州市委宣传部共同发起的“致敬新时代最可爱的人”慰问演出在崇州市竹艺村上演，以表达对新冠疫情期间舍生忘死、奋斗在第一线的医护工作者、政务工作者和志愿者们的感激之情；</w:t>
      </w:r>
      <w:r>
        <w:rPr>
          <w:rFonts w:hint="eastAsia" w:ascii="仿宋_GB2312" w:eastAsia="仿宋_GB2312"/>
          <w:color w:val="000000"/>
          <w:sz w:val="32"/>
          <w:szCs w:val="32"/>
        </w:rPr>
        <w:t>7月7日，我院和茂县文体旅局在叠溪镇和松坪沟乡联合举办了两场文艺演出</w:t>
      </w:r>
      <w:r>
        <w:rPr>
          <w:rFonts w:hint="eastAsia" w:ascii="仿宋_GB2312" w:eastAsia="仿宋_GB2312"/>
          <w:color w:val="000000"/>
          <w:sz w:val="32"/>
          <w:szCs w:val="32"/>
          <w:lang w:eastAsia="zh-CN"/>
        </w:rPr>
        <w:t>，助力乡村振兴，</w:t>
      </w:r>
      <w:r>
        <w:rPr>
          <w:rFonts w:hint="eastAsia" w:ascii="仿宋_GB2312" w:eastAsia="仿宋_GB2312"/>
          <w:color w:val="000000"/>
          <w:sz w:val="32"/>
          <w:szCs w:val="32"/>
        </w:rPr>
        <w:t>弘扬中华优秀传统文化，让大家深切感受到祖国的繁荣昌盛和日新月异的发展变化</w:t>
      </w:r>
      <w:r>
        <w:rPr>
          <w:rFonts w:hint="eastAsia" w:ascii="仿宋_GB2312" w:eastAsia="仿宋_GB2312"/>
          <w:color w:val="000000"/>
          <w:sz w:val="32"/>
          <w:szCs w:val="32"/>
          <w:lang w:eastAsia="zh-CN"/>
        </w:rPr>
        <w:t>；10月26日——</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lang w:eastAsia="zh-CN"/>
        </w:rPr>
        <w:t>日，我院演职人员分为两个分队，分别前往凉山州和康定、甘孜、芦山等地进行惠民演出，受到当地民众热烈欢迎；11月2日——4日在巴中举办曲艺专场演出；</w:t>
      </w:r>
      <w:r>
        <w:rPr>
          <w:rFonts w:hint="eastAsia" w:ascii="仿宋_GB2312" w:hAnsi="黑体" w:eastAsia="仿宋_GB2312"/>
          <w:sz w:val="32"/>
          <w:szCs w:val="32"/>
        </w:rPr>
        <w:t>11月19日</w:t>
      </w:r>
      <w:r>
        <w:rPr>
          <w:rFonts w:hint="eastAsia" w:ascii="仿宋_GB2312" w:hAnsi="黑体" w:eastAsia="仿宋_GB2312"/>
          <w:sz w:val="32"/>
          <w:szCs w:val="32"/>
          <w:lang w:eastAsia="zh-CN"/>
        </w:rPr>
        <w:t>、</w:t>
      </w:r>
      <w:r>
        <w:rPr>
          <w:rFonts w:hint="eastAsia" w:ascii="仿宋_GB2312" w:hAnsi="黑体" w:eastAsia="仿宋_GB2312"/>
          <w:sz w:val="32"/>
          <w:szCs w:val="32"/>
        </w:rPr>
        <w:t>11月26日——27日</w:t>
      </w:r>
      <w:r>
        <w:rPr>
          <w:rFonts w:hint="eastAsia" w:ascii="仿宋_GB2312" w:hAnsi="黑体" w:eastAsia="仿宋_GB2312"/>
          <w:sz w:val="32"/>
          <w:szCs w:val="32"/>
          <w:lang w:eastAsia="zh-CN"/>
        </w:rPr>
        <w:t>分别在宜宾和巴中巡演大型谐剧《永不落幕》，</w:t>
      </w:r>
      <w:r>
        <w:rPr>
          <w:rFonts w:hint="eastAsia" w:ascii="仿宋_GB2312" w:eastAsia="仿宋_GB2312"/>
          <w:sz w:val="32"/>
          <w:szCs w:val="32"/>
        </w:rPr>
        <w:t>CCTV-3《中国文艺报道》对此次巡演进行了播报</w:t>
      </w:r>
      <w:r>
        <w:rPr>
          <w:rFonts w:hint="eastAsia" w:ascii="仿宋_GB2312" w:eastAsia="仿宋_GB2312"/>
          <w:sz w:val="32"/>
          <w:szCs w:val="32"/>
          <w:lang w:eastAsia="zh-CN"/>
        </w:rPr>
        <w:t>；</w:t>
      </w:r>
    </w:p>
    <w:p>
      <w:pPr>
        <w:rPr>
          <w:rFonts w:hint="eastAsia" w:ascii="仿宋_GB2312" w:hAnsi="黑体" w:eastAsia="仿宋_GB2312"/>
          <w:sz w:val="32"/>
          <w:szCs w:val="32"/>
          <w:lang w:eastAsia="zh-CN"/>
        </w:rPr>
      </w:pPr>
      <w:r>
        <w:rPr>
          <w:rFonts w:hint="eastAsia" w:ascii="仿宋_GB2312" w:hAnsi="黑体" w:eastAsia="仿宋_GB2312"/>
          <w:sz w:val="32"/>
          <w:szCs w:val="32"/>
        </w:rPr>
        <w:t>11月28日</w:t>
      </w:r>
      <w:r>
        <w:rPr>
          <w:rFonts w:hint="eastAsia" w:ascii="仿宋_GB2312" w:hAnsi="黑体" w:eastAsia="仿宋_GB2312"/>
          <w:sz w:val="32"/>
          <w:szCs w:val="32"/>
          <w:lang w:eastAsia="zh-CN"/>
        </w:rPr>
        <w:t>在巴中枣林举办</w:t>
      </w:r>
      <w:r>
        <w:rPr>
          <w:rFonts w:hint="eastAsia" w:ascii="仿宋_GB2312" w:hAnsi="黑体" w:eastAsia="仿宋_GB2312"/>
          <w:sz w:val="32"/>
          <w:szCs w:val="32"/>
        </w:rPr>
        <w:t>曲艺基地授牌仪式演出</w:t>
      </w:r>
      <w:r>
        <w:rPr>
          <w:rFonts w:hint="eastAsia" w:ascii="仿宋_GB2312" w:hAnsi="黑体" w:eastAsia="仿宋_GB2312"/>
          <w:sz w:val="32"/>
          <w:szCs w:val="32"/>
          <w:lang w:eastAsia="zh-CN"/>
        </w:rPr>
        <w:t>；12月</w:t>
      </w: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日在四川珙县进行</w:t>
      </w:r>
      <w:r>
        <w:rPr>
          <w:rFonts w:hint="eastAsia" w:ascii="仿宋_GB2312" w:hAnsi="黑体" w:eastAsia="仿宋_GB2312"/>
          <w:sz w:val="32"/>
          <w:szCs w:val="32"/>
          <w:lang w:val="en-US" w:eastAsia="zh-CN"/>
        </w:rPr>
        <w:t>2场曲艺惠民演出；</w:t>
      </w:r>
      <w:r>
        <w:rPr>
          <w:rFonts w:hint="eastAsia" w:ascii="仿宋_GB2312" w:hAnsi="黑体" w:eastAsia="仿宋_GB2312"/>
          <w:sz w:val="32"/>
          <w:szCs w:val="32"/>
        </w:rPr>
        <w:t>12月4日</w:t>
      </w:r>
      <w:r>
        <w:rPr>
          <w:rFonts w:hint="eastAsia" w:ascii="仿宋_GB2312" w:hAnsi="黑体" w:eastAsia="仿宋_GB2312"/>
          <w:sz w:val="32"/>
          <w:szCs w:val="32"/>
          <w:lang w:eastAsia="zh-CN"/>
        </w:rPr>
        <w:t>在南充举办</w:t>
      </w:r>
      <w:r>
        <w:rPr>
          <w:rFonts w:hint="eastAsia" w:ascii="仿宋_GB2312" w:hAnsi="黑体" w:eastAsia="仿宋_GB2312"/>
          <w:sz w:val="32"/>
          <w:szCs w:val="32"/>
        </w:rPr>
        <w:t>抗疫主题演出</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12月5日——8日</w:t>
      </w:r>
      <w:r>
        <w:rPr>
          <w:rFonts w:hint="eastAsia" w:ascii="仿宋_GB2312" w:hAnsi="黑体" w:eastAsia="仿宋_GB2312"/>
          <w:sz w:val="32"/>
          <w:szCs w:val="32"/>
          <w:lang w:eastAsia="zh-CN"/>
        </w:rPr>
        <w:t>在四川雅安进行</w:t>
      </w:r>
      <w:r>
        <w:rPr>
          <w:rFonts w:hint="eastAsia" w:ascii="仿宋_GB2312" w:hAnsi="黑体" w:eastAsia="仿宋_GB2312"/>
          <w:sz w:val="32"/>
          <w:szCs w:val="32"/>
          <w:lang w:val="en-US" w:eastAsia="zh-CN"/>
        </w:rPr>
        <w:t>4场曲艺惠民演出。</w:t>
      </w:r>
    </w:p>
    <w:p>
      <w:pPr>
        <w:ind w:firstLine="643" w:firstLineChars="200"/>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（2）曲艺进景区，助力文旅融合</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为助力四川省第十一届乡村文化旅游节（春季），4月1日我院在仪陇县朱德故里景区为受疫情影响宅家两个月的广大民众献上两场精彩演出，包含四川扬琴、四川清音、四川盘子、四川车灯、谐剧、快板等众多曲艺元素，在结合文旅特色之外，更有歌颂英雄、鼓励乐观的优秀作品，如红歌联唱《红动中国》、男声独唱《英雄保重》等，为疫情笼罩民众加油打气；</w:t>
      </w:r>
      <w:r>
        <w:rPr>
          <w:rFonts w:hint="eastAsia" w:ascii="仿宋_GB2312" w:hAnsi="黑体" w:eastAsia="仿宋_GB2312"/>
          <w:sz w:val="32"/>
          <w:szCs w:val="32"/>
        </w:rPr>
        <w:t>11月13日</w:t>
      </w:r>
      <w:r>
        <w:rPr>
          <w:rFonts w:hint="eastAsia" w:ascii="仿宋_GB2312" w:hAnsi="黑体" w:eastAsia="仿宋_GB2312"/>
          <w:sz w:val="32"/>
          <w:szCs w:val="32"/>
          <w:lang w:eastAsia="zh-CN"/>
        </w:rPr>
        <w:t>，我院在</w:t>
      </w:r>
      <w:r>
        <w:rPr>
          <w:rFonts w:hint="eastAsia" w:ascii="仿宋_GB2312" w:hAnsi="黑体" w:eastAsia="仿宋_GB2312"/>
          <w:sz w:val="32"/>
          <w:szCs w:val="32"/>
        </w:rPr>
        <w:t>都江堰青城山</w:t>
      </w:r>
      <w:r>
        <w:rPr>
          <w:rFonts w:hint="eastAsia" w:ascii="仿宋_GB2312" w:hAnsi="黑体" w:eastAsia="仿宋_GB2312"/>
          <w:sz w:val="32"/>
          <w:szCs w:val="32"/>
          <w:lang w:eastAsia="zh-CN"/>
        </w:rPr>
        <w:t>举办曲艺节目汇演，表演了</w:t>
      </w:r>
      <w:r>
        <w:rPr>
          <w:rFonts w:hint="eastAsia" w:ascii="仿宋_GB2312" w:hAnsi="黑体" w:eastAsia="仿宋_GB2312"/>
          <w:sz w:val="32"/>
          <w:szCs w:val="32"/>
        </w:rPr>
        <w:t>四川扬琴《一路锦绣》、四川清音《大美四川》</w:t>
      </w:r>
      <w:r>
        <w:rPr>
          <w:rFonts w:hint="eastAsia" w:ascii="仿宋_GB2312" w:hAnsi="黑体" w:eastAsia="仿宋_GB2312"/>
          <w:sz w:val="32"/>
          <w:szCs w:val="32"/>
          <w:lang w:eastAsia="zh-CN"/>
        </w:rPr>
        <w:t>、</w:t>
      </w:r>
      <w:r>
        <w:rPr>
          <w:rFonts w:hint="eastAsia" w:ascii="仿宋_GB2312" w:hAnsi="黑体" w:eastAsia="仿宋_GB2312"/>
          <w:sz w:val="32"/>
          <w:szCs w:val="32"/>
        </w:rPr>
        <w:t>四川车灯《好吃嘴》等十个节目。</w:t>
      </w:r>
    </w:p>
    <w:p>
      <w:pPr>
        <w:ind w:firstLine="643" w:firstLineChars="200"/>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（3）曲艺进社区，宣传无偿献血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6月14日是世界献血日，为宣传无偿献血主题，让更多的民众了解无偿献血的重要性，鼓励大家积极参与自愿无偿献血活动，2020年6月14日，四川省曲艺研究院在犀和社区嘻贰叁曲艺剧社举办了2020世界献血日四川曲艺进社区专场活动，为大家呈现了《血战到底》、《家庭总动员》、《好吃嘴》、《千古棋盘》、《小放风筝》等多个节目。其中，《血战到底》以贴近生活的小品形式讲述了在血液中心工作的护士女儿鼓励并说服自己的父亲无偿献血的有趣故事，《家庭总动员》以轻快的竹板对打生动地展现了疫情期间如何让想外出的家人安心居家抗疫的情形。此次惠民演出活动观众反响热烈，大家纷纷表示节目呈现形式及内容贴近生活、生动有趣，宣传的无偿献血主题更是让人印象深刻，很好地达到了预期的宣传效果，受到了观众的一致好评。</w:t>
      </w:r>
    </w:p>
    <w:p>
      <w:pPr>
        <w:ind w:firstLine="643" w:firstLineChars="200"/>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（4）曲艺进小剧场，碰撞艺术火花</w:t>
      </w:r>
    </w:p>
    <w:p>
      <w:pPr>
        <w:spacing w:line="600" w:lineRule="exact"/>
        <w:ind w:firstLine="640" w:firstLineChars="200"/>
        <w:rPr>
          <w:rFonts w:hint="eastAsia" w:ascii="楷体_GB2312" w:hAnsi="楷体_GB2312" w:eastAsia="楷体_GB2312" w:cs="楷体_GB2312"/>
          <w:b/>
          <w:bCs/>
          <w:sz w:val="32"/>
          <w:szCs w:val="32"/>
          <w:lang w:val="en-US" w:eastAsia="zh-CN"/>
        </w:rPr>
      </w:pPr>
      <w:r>
        <w:rPr>
          <w:rFonts w:hint="eastAsia" w:ascii="仿宋_GB2312" w:eastAsia="仿宋_GB2312"/>
          <w:color w:val="000000"/>
          <w:sz w:val="32"/>
          <w:szCs w:val="32"/>
        </w:rPr>
        <w:t>由无锡市曲艺家协会组织的一行16人，7月20日至24日赴四川成都创作采风交流演出。7月21日、22日分别在嘻贰叁剧场和哈哈曲艺社闲亭剧场举行了两场“川苏曲艺名家交流展演”。我院表演的四川</w:t>
      </w:r>
      <w:r>
        <w:rPr>
          <w:rFonts w:ascii="仿宋_GB2312" w:eastAsia="仿宋_GB2312"/>
          <w:color w:val="000000"/>
          <w:sz w:val="32"/>
          <w:szCs w:val="32"/>
        </w:rPr>
        <w:t>谐剧《弱势群体》</w:t>
      </w:r>
      <w:r>
        <w:rPr>
          <w:rFonts w:hint="eastAsia" w:ascii="仿宋_GB2312" w:eastAsia="仿宋_GB2312"/>
          <w:color w:val="000000"/>
          <w:sz w:val="32"/>
          <w:szCs w:val="32"/>
        </w:rPr>
        <w:t>、</w:t>
      </w:r>
      <w:r>
        <w:rPr>
          <w:rFonts w:ascii="仿宋_GB2312" w:eastAsia="仿宋_GB2312"/>
          <w:color w:val="000000"/>
          <w:sz w:val="32"/>
          <w:szCs w:val="32"/>
        </w:rPr>
        <w:t>四川清音《大美四川》《布谷鸟儿咕咕叫》</w:t>
      </w:r>
      <w:r>
        <w:rPr>
          <w:rFonts w:hint="eastAsia" w:ascii="仿宋_GB2312" w:eastAsia="仿宋_GB2312"/>
          <w:color w:val="000000"/>
          <w:sz w:val="32"/>
          <w:szCs w:val="32"/>
        </w:rPr>
        <w:t>、四川车灯《好吃嘴》等节目受到观众的欢迎和盛赞，演出现场反响热烈，交流演出取得圆满成功。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（三）文艺助推脱贫攻坚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2020年是全面建成小康社会目标实现之年，是全面打赢脱贫攻坚战收官之年。面对新冠肺炎疫情的影响，我院始终统筹抓好疫情防控和文艺创作生产工作。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1.扎根人民，广泛收集脱贫攻坚素材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在确保安全的前提下，由党总支副书记、院长沈军带领15人组成的采风组，于2020年5月19日-23日前往叙永县开展脱贫攻坚采风活动。为打造展示脱贫攻坚伟大成就、彰显时代精神的大型曲艺剧《山高水长》，采风组一行通过“听、看、访、研”的方式，先后到叙永县石厢子彝族乡堰塘村、安乐村2个村，深入5个大队，慰问6户比较特殊的已脱贫家庭，走访在脱贫攻坚中表现突出的个人，召开4次座谈会，访谈村干部、驻村工作队，实地考察堰塘村大集中安置点以及“两不愁、三保障”政策的落实情况，着力挖掘在脱贫攻坚过程中涌现出来的先进典型和感人故事，反映党和政府的扶贫政策给困难群众带来的实惠，脱贫前后村容村貌、群众生活变化等方面的素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此次活动中，采风组一行还组织了红色学习。5月21日上午，采风组一行参观了红军长征纪念园、中央红军长征“鸡鸣三省”会议陈列馆、红军长征纪念地毛泽东住地旧址等红色教育基地，在讲解员的现场解说下，深入了解“鸡鸣三省石厢子会议”在中共党史军史上的重要意义以及特殊性，深刻感受红军长征的艰辛和伟大，以及长征精神应继续传承弘扬的必要性。此次红色学习，同时也为2021年我院创作庆祝建党100周年的大型曲艺剧目提供充实素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2.参加省委脱贫攻坚公益晚会</w:t>
      </w:r>
    </w:p>
    <w:p>
      <w:pPr>
        <w:numPr>
          <w:ilvl w:val="0"/>
          <w:numId w:val="0"/>
        </w:numPr>
        <w:spacing w:line="600" w:lineRule="exact"/>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月15日——17日，我院在省电视台参加省委脱贫攻坚公益晚会并呈上精彩节目。《花开盛世》以琵琶弹唱作为表演形式，赞美党的伟大，祖国的强盛，《好吃嘴》将引以为傲的四川美食与四川车灯相结合，也展示了咱们可爱的、火辣辣的川妹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3.打造脱贫攻坚题材剧目《山高水长》</w:t>
      </w:r>
    </w:p>
    <w:p>
      <w:pPr>
        <w:spacing w:line="600" w:lineRule="exact"/>
        <w:ind w:firstLine="700" w:firstLineChars="200"/>
        <w:rPr>
          <w:rFonts w:hint="eastAsia" w:ascii="仿宋_GB2312" w:eastAsia="仿宋_GB2312"/>
          <w:sz w:val="32"/>
          <w:szCs w:val="32"/>
        </w:rPr>
      </w:pPr>
      <w:r>
        <w:rPr>
          <w:rFonts w:hint="eastAsia" w:ascii="仿宋_GB2312" w:hAnsi="仿宋" w:eastAsia="仿宋_GB2312" w:cs="仿宋"/>
          <w:color w:val="333333"/>
          <w:spacing w:val="15"/>
          <w:sz w:val="32"/>
          <w:szCs w:val="32"/>
          <w:shd w:val="clear" w:color="auto" w:fill="FFFFFF"/>
        </w:rPr>
        <w:t>围绕“文艺助推脱贫攻坚”主题，</w:t>
      </w:r>
      <w:r>
        <w:rPr>
          <w:rFonts w:hint="eastAsia" w:ascii="仿宋_GB2312" w:hAnsi="仿宋" w:eastAsia="仿宋_GB2312" w:cs="仿宋"/>
          <w:color w:val="333333"/>
          <w:spacing w:val="15"/>
          <w:sz w:val="32"/>
          <w:szCs w:val="32"/>
          <w:shd w:val="clear" w:color="auto" w:fill="FFFFFF"/>
          <w:lang w:eastAsia="zh-CN"/>
        </w:rPr>
        <w:t>我院</w:t>
      </w:r>
      <w:r>
        <w:rPr>
          <w:rFonts w:hint="eastAsia" w:ascii="仿宋_GB2312" w:hAnsi="仿宋" w:eastAsia="仿宋_GB2312" w:cs="仿宋"/>
          <w:color w:val="333333"/>
          <w:spacing w:val="15"/>
          <w:sz w:val="32"/>
          <w:szCs w:val="32"/>
          <w:shd w:val="clear" w:color="auto" w:fill="FFFFFF"/>
        </w:rPr>
        <w:t>精心打造展示脱贫攻坚伟大成就、彰显时代精神的大型原创曲艺音乐剧——《山高水长》</w:t>
      </w:r>
      <w:r>
        <w:rPr>
          <w:rFonts w:hint="eastAsia" w:ascii="仿宋_GB2312" w:hAnsi="仿宋" w:eastAsia="仿宋_GB2312" w:cs="仿宋"/>
          <w:color w:val="333333"/>
          <w:spacing w:val="15"/>
          <w:sz w:val="32"/>
          <w:szCs w:val="32"/>
          <w:shd w:val="clear" w:color="auto" w:fill="FFFFFF"/>
          <w:lang w:eastAsia="zh-CN"/>
        </w:rPr>
        <w:t>。</w:t>
      </w:r>
      <w:r>
        <w:rPr>
          <w:rFonts w:hint="eastAsia" w:ascii="仿宋_GB2312" w:eastAsia="仿宋_GB2312"/>
          <w:sz w:val="32"/>
          <w:szCs w:val="32"/>
        </w:rPr>
        <w:t>2020年10月19日</w:t>
      </w:r>
      <w:r>
        <w:rPr>
          <w:rFonts w:hint="eastAsia" w:ascii="仿宋_GB2312" w:eastAsia="仿宋_GB2312"/>
          <w:sz w:val="32"/>
          <w:szCs w:val="32"/>
          <w:lang w:eastAsia="zh-CN"/>
        </w:rPr>
        <w:t>，该剧</w:t>
      </w:r>
      <w:r>
        <w:rPr>
          <w:rFonts w:hint="eastAsia" w:ascii="仿宋_GB2312" w:eastAsia="仿宋_GB2312"/>
          <w:sz w:val="32"/>
          <w:szCs w:val="32"/>
        </w:rPr>
        <w:t>在成都新声剧场首演并持续至23日，首演获得极大成功，中新网、凤凰网、中国文化报、中国旅游新闻网、四川卫视、成都广播网、微视等多家媒体对此次首演进行了播报。11月24日《山高水长》在泸州演出，之后将前往四川省各重点扶贫村巡演。CCTV-3《中国文艺报道》对此次巡演进行了播报。</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山高水长》是四川省推出的首部聚焦扶贫驻村干部的舞台剧目，该剧突破传统曲艺的表现形式，定位为大型原创曲艺音乐剧，将音乐剧、曲艺、话剧等艺术手法融冶一炉，并以扶贫干部的视角为切入点，探讨、展现精准扶贫工作中价值的重塑和人性的光辉。《山高水长》既写出扶贫干部的心路历程，又写出广大群众的火热情感，是全方位展示四川在脱贫攻坚、全面建成小康社会和乡村振兴中取得的显著成绩，展现党和政府以及广大人民群众万众一心、攻坚克难，追求幸福美好生活精神风貌的重要成果。</w:t>
      </w:r>
    </w:p>
    <w:p>
      <w:pPr>
        <w:pStyle w:val="6"/>
        <w:ind w:firstLine="640" w:firstLineChars="200"/>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（四）推进川渝两地曲艺交流</w:t>
      </w:r>
    </w:p>
    <w:p>
      <w:pPr>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巴蜀再牵手，川渝一家亲。川渝山水相依、历史同脉、文化同源、人文相通，两地文艺界一直以来互动频繁、交流畅通。为进一步加强川渝两地文艺发展合作共赢，6月18日，重庆市曲艺团有限责任公司一行到四川省曲艺研究院，就共同推动成渝地区双城经济圈建设文艺先行双方合作进行深入研讨，共商两地曲艺协同发展事宜。</w:t>
      </w:r>
      <w:r>
        <w:rPr>
          <w:rFonts w:hint="eastAsia" w:ascii="仿宋_GB2312" w:hAnsi="黑体" w:eastAsia="仿宋_GB2312"/>
          <w:sz w:val="32"/>
          <w:szCs w:val="32"/>
        </w:rPr>
        <w:t>11月27日</w:t>
      </w:r>
      <w:r>
        <w:rPr>
          <w:rFonts w:hint="eastAsia" w:ascii="仿宋_GB2312" w:hAnsi="黑体" w:eastAsia="仿宋_GB2312"/>
          <w:sz w:val="32"/>
          <w:szCs w:val="32"/>
          <w:lang w:eastAsia="zh-CN"/>
        </w:rPr>
        <w:t>，在温江举办了</w:t>
      </w:r>
      <w:r>
        <w:rPr>
          <w:rFonts w:hint="eastAsia" w:ascii="仿宋_GB2312" w:hAnsi="黑体" w:eastAsia="仿宋_GB2312"/>
          <w:sz w:val="32"/>
          <w:szCs w:val="32"/>
        </w:rPr>
        <w:t>川渝两地曲艺交流演出</w:t>
      </w:r>
      <w:r>
        <w:rPr>
          <w:rFonts w:hint="eastAsia" w:ascii="仿宋_GB2312" w:hAnsi="黑体" w:eastAsia="仿宋_GB2312"/>
          <w:sz w:val="32"/>
          <w:szCs w:val="32"/>
          <w:lang w:eastAsia="zh-CN"/>
        </w:rPr>
        <w:t>，我院表演了</w:t>
      </w:r>
      <w:r>
        <w:rPr>
          <w:rFonts w:hint="eastAsia" w:ascii="仿宋_GB2312" w:hAnsi="黑体" w:eastAsia="仿宋_GB2312"/>
          <w:sz w:val="32"/>
          <w:szCs w:val="32"/>
        </w:rPr>
        <w:t>四川金钱板《大街小巷》、音乐散打《素芬》、小品《鉴宝》</w:t>
      </w:r>
      <w:r>
        <w:rPr>
          <w:rFonts w:hint="eastAsia" w:ascii="仿宋_GB2312" w:hAnsi="黑体" w:eastAsia="仿宋_GB2312"/>
          <w:sz w:val="32"/>
          <w:szCs w:val="32"/>
          <w:lang w:eastAsia="zh-CN"/>
        </w:rPr>
        <w:t>等曲艺节目，并计划将于</w:t>
      </w:r>
      <w:r>
        <w:rPr>
          <w:rFonts w:hint="eastAsia" w:ascii="仿宋_GB2312" w:hAnsi="黑体" w:eastAsia="仿宋_GB2312"/>
          <w:sz w:val="32"/>
          <w:szCs w:val="32"/>
          <w:lang w:val="en-US" w:eastAsia="zh-CN"/>
        </w:rPr>
        <w:t>2021年1月前往重庆长寿区进行曲艺交流演出。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（五）普及推广基层公共文化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eastAsia="仿宋_GB2312"/>
          <w:color w:val="000000"/>
          <w:sz w:val="32"/>
          <w:szCs w:val="32"/>
          <w:lang w:val="en-US" w:eastAsia="zh-CN"/>
        </w:rPr>
      </w:pPr>
      <w:r>
        <w:rPr>
          <w:rFonts w:hint="eastAsia" w:ascii="楷体" w:hAnsi="楷体" w:eastAsia="楷体" w:cs="楷体"/>
          <w:b/>
          <w:bCs/>
          <w:color w:val="000000"/>
          <w:sz w:val="32"/>
          <w:szCs w:val="32"/>
          <w:lang w:val="en-US" w:eastAsia="zh-CN"/>
        </w:rPr>
        <w:t>1.叙永县“公共文化讲堂”。</w:t>
      </w:r>
      <w:r>
        <w:rPr>
          <w:rFonts w:hint="eastAsia" w:ascii="仿宋_GB2312" w:eastAsia="仿宋_GB2312"/>
          <w:color w:val="000000"/>
          <w:sz w:val="32"/>
          <w:szCs w:val="32"/>
          <w:lang w:val="en-US" w:eastAsia="zh-CN"/>
        </w:rPr>
        <w:t>在叙永县开展脱贫攻坚采风活动期间，我院结合叙永县刚启动的“公共文化讲堂”活动，专门开展了民乐演奏和舞蹈编排2场培训活动。在春秋祠，一级演奏员、著名二胡演奏家陶陪力向二胡爱好者分享二胡演奏中的技巧和情感表达等；在叙永县文化馆，艺术中心副主任、导演毛军豪向当地的舞蹈爱好者分享群众性舞蹈编创的技术和经验等。每场培训3个小时，共100多名观众，现场反响热烈，热切希望这样的艺术培训能经常开展。两位艺术家通过这样的交流培训，深感作为省级专业文艺院团的文艺工作者，有责任有义务面向基层开展结对帮扶，积极普及推广公共文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eastAsia="仿宋_GB2312"/>
          <w:color w:val="000000"/>
          <w:sz w:val="32"/>
          <w:szCs w:val="32"/>
          <w:lang w:val="en-US" w:eastAsia="zh-CN"/>
        </w:rPr>
      </w:pPr>
      <w:r>
        <w:rPr>
          <w:rFonts w:hint="eastAsia" w:ascii="楷体" w:hAnsi="楷体" w:eastAsia="楷体" w:cs="楷体"/>
          <w:b/>
          <w:bCs/>
          <w:color w:val="000000"/>
          <w:sz w:val="32"/>
          <w:szCs w:val="32"/>
          <w:lang w:val="en-US" w:eastAsia="zh-CN"/>
        </w:rPr>
        <w:t>2.简阳曲艺支教班。</w:t>
      </w:r>
      <w:r>
        <w:rPr>
          <w:rFonts w:hint="eastAsia" w:ascii="仿宋_GB2312" w:eastAsia="仿宋_GB2312"/>
          <w:color w:val="000000"/>
          <w:sz w:val="32"/>
          <w:szCs w:val="32"/>
          <w:lang w:val="en-US" w:eastAsia="zh-CN"/>
        </w:rPr>
        <w:t>6月14日，简阳曲艺支教班顺利开班，旨在普及曲艺艺术，传承非遗文化。我院曲艺表演艺术家罗大春携高徒参加开班仪式并表示将长期为简阳义务培养曲艺人才。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ascii="仿宋" w:hAnsi="仿宋" w:eastAsia="仿宋"/>
          <w:color w:val="auto"/>
          <w:kern w:val="0"/>
          <w:sz w:val="32"/>
          <w:szCs w:val="32"/>
        </w:rPr>
      </w:pPr>
      <w:r>
        <w:rPr>
          <w:rFonts w:hint="eastAsia" w:ascii="楷体" w:hAnsi="楷体" w:eastAsia="楷体" w:cs="楷体"/>
          <w:b/>
          <w:bCs/>
          <w:color w:val="000000"/>
          <w:sz w:val="32"/>
          <w:szCs w:val="32"/>
          <w:lang w:val="en-US" w:eastAsia="zh-CN"/>
        </w:rPr>
        <w:t>3.曲艺流动讲堂。</w:t>
      </w:r>
      <w:r>
        <w:rPr>
          <w:rFonts w:hint="eastAsia" w:ascii="仿宋_GB2312" w:eastAsia="仿宋_GB2312"/>
          <w:b w:val="0"/>
          <w:bCs w:val="0"/>
          <w:color w:val="000000"/>
          <w:sz w:val="32"/>
          <w:szCs w:val="32"/>
          <w:lang w:val="en-US" w:eastAsia="zh-CN"/>
        </w:rPr>
        <w:t>6月30日，我院举办的曲艺流动讲堂走进巴州区，由罗大春老师主讲。</w:t>
      </w:r>
      <w:r>
        <w:rPr>
          <w:rFonts w:ascii="仿宋" w:hAnsi="仿宋" w:eastAsia="仿宋"/>
          <w:color w:val="auto"/>
          <w:sz w:val="32"/>
          <w:szCs w:val="32"/>
        </w:rPr>
        <w:br w:type="page"/>
      </w:r>
    </w:p>
    <w:p>
      <w:pPr>
        <w:pStyle w:val="3"/>
        <w:ind w:right="440"/>
        <w:jc w:val="center"/>
        <w:rPr>
          <w:rStyle w:val="27"/>
          <w:rFonts w:ascii="黑体" w:hAnsi="黑体" w:eastAsia="黑体"/>
          <w:b w:val="0"/>
          <w:bCs/>
          <w:color w:val="auto"/>
        </w:rPr>
      </w:pPr>
      <w:bookmarkStart w:id="16" w:name="_Toc15377204"/>
      <w:bookmarkStart w:id="17" w:name="_Toc15396602"/>
      <w:r>
        <w:rPr>
          <w:rFonts w:hint="eastAsia" w:ascii="黑体" w:hAnsi="黑体" w:eastAsia="黑体"/>
          <w:b w:val="0"/>
          <w:bCs/>
          <w:color w:val="auto"/>
        </w:rPr>
        <w:t xml:space="preserve">第二部分 </w:t>
      </w:r>
      <w:r>
        <w:rPr>
          <w:rFonts w:hint="eastAsia" w:ascii="黑体" w:hAnsi="黑体" w:eastAsia="黑体"/>
          <w:b w:val="0"/>
          <w:bCs/>
          <w:color w:val="auto"/>
          <w:lang w:val="en-US" w:eastAsia="zh-CN"/>
        </w:rPr>
        <w:t>2020年度单位</w:t>
      </w:r>
      <w:r>
        <w:rPr>
          <w:rStyle w:val="27"/>
          <w:rFonts w:hint="eastAsia" w:ascii="黑体" w:hAnsi="黑体" w:eastAsia="黑体"/>
          <w:b w:val="0"/>
          <w:bCs/>
          <w:color w:val="auto"/>
        </w:rPr>
        <w:t>决算情况说明</w:t>
      </w:r>
      <w:bookmarkEnd w:id="16"/>
      <w:bookmarkEnd w:id="17"/>
    </w:p>
    <w:p>
      <w:pPr>
        <w:rPr>
          <w:color w:val="auto"/>
        </w:rPr>
      </w:pPr>
    </w:p>
    <w:p>
      <w:pPr>
        <w:pStyle w:val="26"/>
        <w:numPr>
          <w:ilvl w:val="0"/>
          <w:numId w:val="2"/>
        </w:numPr>
        <w:spacing w:line="600" w:lineRule="exact"/>
        <w:ind w:firstLineChars="0"/>
        <w:outlineLvl w:val="1"/>
        <w:rPr>
          <w:rStyle w:val="28"/>
          <w:rFonts w:ascii="黑体" w:hAnsi="黑体" w:eastAsia="黑体"/>
          <w:b w:val="0"/>
          <w:color w:val="auto"/>
        </w:rPr>
      </w:pPr>
      <w:bookmarkStart w:id="18" w:name="_Toc15377205"/>
      <w:bookmarkStart w:id="19" w:name="_Toc15396603"/>
      <w:r>
        <w:rPr>
          <w:rFonts w:hint="eastAsia" w:ascii="黑体" w:hAnsi="黑体" w:eastAsia="黑体"/>
          <w:color w:val="auto"/>
          <w:sz w:val="32"/>
          <w:szCs w:val="32"/>
        </w:rPr>
        <w:t>收</w:t>
      </w:r>
      <w:r>
        <w:rPr>
          <w:rStyle w:val="28"/>
          <w:rFonts w:hint="eastAsia" w:ascii="黑体" w:hAnsi="黑体" w:eastAsia="黑体"/>
          <w:b w:val="0"/>
          <w:color w:val="auto"/>
        </w:rPr>
        <w:t>入支出决算总体情况说明</w:t>
      </w:r>
      <w:bookmarkEnd w:id="18"/>
      <w:bookmarkEnd w:id="19"/>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年度收、支总计</w:t>
      </w:r>
      <w:r>
        <w:rPr>
          <w:rFonts w:hint="eastAsia" w:ascii="仿宋" w:hAnsi="仿宋" w:eastAsia="仿宋"/>
          <w:color w:val="auto"/>
          <w:sz w:val="32"/>
          <w:szCs w:val="32"/>
          <w:shd w:val="clear" w:fill="FFFFFF" w:themeFill="background1"/>
        </w:rPr>
        <w:t>1,732.85</w:t>
      </w:r>
      <w:r>
        <w:rPr>
          <w:rFonts w:hint="eastAsia" w:ascii="仿宋" w:hAnsi="仿宋" w:eastAsia="仿宋"/>
          <w:color w:val="auto"/>
          <w:sz w:val="32"/>
          <w:szCs w:val="32"/>
        </w:rPr>
        <w:t>万元。与201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年相比，收、支总计各减少</w:t>
      </w:r>
      <w:r>
        <w:rPr>
          <w:rFonts w:hint="eastAsia" w:ascii="仿宋" w:hAnsi="仿宋" w:eastAsia="仿宋"/>
          <w:color w:val="auto"/>
          <w:sz w:val="32"/>
          <w:szCs w:val="32"/>
          <w:lang w:val="en-US" w:eastAsia="zh-CN"/>
        </w:rPr>
        <w:t>396.86</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18.63</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val="en-US" w:eastAsia="zh-CN"/>
        </w:rPr>
        <w:t>受疫情影响，演出收入减少；项目支出减少。</w:t>
      </w:r>
    </w:p>
    <w:p>
      <w:pPr>
        <w:spacing w:line="60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drawing>
          <wp:anchor distT="0" distB="0" distL="114300" distR="114300" simplePos="0" relativeHeight="251659264" behindDoc="0" locked="0" layoutInCell="1" allowOverlap="1">
            <wp:simplePos x="0" y="0"/>
            <wp:positionH relativeFrom="column">
              <wp:posOffset>-12700</wp:posOffset>
            </wp:positionH>
            <wp:positionV relativeFrom="paragraph">
              <wp:posOffset>128270</wp:posOffset>
            </wp:positionV>
            <wp:extent cx="4730115" cy="2534920"/>
            <wp:effectExtent l="4445" t="5080" r="15240" b="762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rPr>
        <w:t>收、支决算总计变动收、支决算总计变动</w:t>
      </w:r>
    </w:p>
    <w:p>
      <w:pPr>
        <w:spacing w:line="600" w:lineRule="exact"/>
        <w:ind w:firstLine="640" w:firstLineChars="200"/>
        <w:jc w:val="left"/>
        <w:rPr>
          <w:rFonts w:hint="eastAsia" w:ascii="仿宋_GB2312" w:eastAsia="仿宋_GB2312"/>
          <w:color w:val="auto"/>
          <w:sz w:val="32"/>
          <w:szCs w:val="32"/>
          <w:lang w:eastAsia="zh-CN"/>
        </w:rPr>
      </w:pPr>
    </w:p>
    <w:p>
      <w:pPr>
        <w:spacing w:line="600" w:lineRule="exact"/>
        <w:ind w:firstLine="640" w:firstLineChars="200"/>
        <w:jc w:val="left"/>
        <w:rPr>
          <w:rFonts w:hint="eastAsia" w:ascii="仿宋_GB2312" w:eastAsia="仿宋_GB2312"/>
          <w:color w:val="auto"/>
          <w:sz w:val="32"/>
          <w:szCs w:val="32"/>
          <w:lang w:eastAsia="zh-CN"/>
        </w:rPr>
      </w:pPr>
    </w:p>
    <w:p>
      <w:pPr>
        <w:spacing w:line="600" w:lineRule="exact"/>
        <w:ind w:firstLine="640" w:firstLineChars="200"/>
        <w:jc w:val="left"/>
        <w:rPr>
          <w:rFonts w:hint="eastAsia" w:ascii="仿宋_GB2312" w:eastAsia="仿宋_GB2312"/>
          <w:color w:val="auto"/>
          <w:sz w:val="32"/>
          <w:szCs w:val="32"/>
          <w:lang w:eastAsia="zh-CN"/>
        </w:rPr>
      </w:pPr>
    </w:p>
    <w:p>
      <w:pPr>
        <w:spacing w:line="600" w:lineRule="exact"/>
        <w:ind w:firstLine="640" w:firstLineChars="200"/>
        <w:jc w:val="left"/>
        <w:rPr>
          <w:rFonts w:hint="eastAsia" w:ascii="仿宋_GB2312" w:eastAsia="仿宋_GB2312"/>
          <w:color w:val="auto"/>
          <w:sz w:val="32"/>
          <w:szCs w:val="32"/>
          <w:lang w:eastAsia="zh-CN"/>
        </w:rPr>
      </w:pPr>
    </w:p>
    <w:p>
      <w:pPr>
        <w:spacing w:line="600" w:lineRule="exact"/>
        <w:ind w:firstLine="640" w:firstLineChars="200"/>
        <w:jc w:val="left"/>
        <w:rPr>
          <w:rFonts w:hint="eastAsia" w:ascii="仿宋_GB2312" w:eastAsia="仿宋_GB2312"/>
          <w:color w:val="auto"/>
          <w:sz w:val="32"/>
          <w:szCs w:val="32"/>
          <w:lang w:eastAsia="zh-CN"/>
        </w:rPr>
      </w:pPr>
    </w:p>
    <w:p>
      <w:pPr>
        <w:spacing w:line="600" w:lineRule="exact"/>
        <w:ind w:firstLine="640" w:firstLineChars="200"/>
        <w:jc w:val="left"/>
        <w:rPr>
          <w:rFonts w:hint="eastAsia" w:ascii="仿宋_GB2312" w:eastAsia="仿宋_GB2312"/>
          <w:color w:val="auto"/>
          <w:sz w:val="32"/>
          <w:szCs w:val="32"/>
          <w:lang w:eastAsia="zh-CN"/>
        </w:rPr>
      </w:pPr>
    </w:p>
    <w:p>
      <w:pPr>
        <w:pStyle w:val="26"/>
        <w:numPr>
          <w:ilvl w:val="0"/>
          <w:numId w:val="2"/>
        </w:numPr>
        <w:spacing w:line="600" w:lineRule="exact"/>
        <w:ind w:firstLineChars="0"/>
        <w:outlineLvl w:val="1"/>
        <w:rPr>
          <w:rStyle w:val="28"/>
          <w:rFonts w:ascii="黑体" w:hAnsi="黑体" w:eastAsia="黑体"/>
          <w:b w:val="0"/>
          <w:color w:val="auto"/>
        </w:rPr>
      </w:pPr>
      <w:bookmarkStart w:id="20" w:name="_Toc15396604"/>
      <w:bookmarkStart w:id="21" w:name="_Toc15377206"/>
      <w:r>
        <w:rPr>
          <w:rFonts w:hint="eastAsia" w:ascii="黑体" w:hAnsi="黑体" w:eastAsia="黑体"/>
          <w:color w:val="auto"/>
          <w:sz w:val="32"/>
          <w:szCs w:val="32"/>
        </w:rPr>
        <w:t>收</w:t>
      </w:r>
      <w:r>
        <w:rPr>
          <w:rStyle w:val="28"/>
          <w:rFonts w:hint="eastAsia" w:ascii="黑体" w:hAnsi="黑体" w:eastAsia="黑体"/>
          <w:b w:val="0"/>
          <w:color w:val="auto"/>
        </w:rPr>
        <w:t>入决算情况说明</w:t>
      </w:r>
      <w:bookmarkEnd w:id="20"/>
      <w:bookmarkEnd w:id="21"/>
    </w:p>
    <w:p>
      <w:pPr>
        <w:spacing w:line="600" w:lineRule="exact"/>
        <w:ind w:firstLine="640" w:firstLineChars="200"/>
        <w:outlineLvl w:val="1"/>
        <w:rPr>
          <w:rFonts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年本年收入合计1,732.85万元，其中：一般公共预算财政拨款收入1,567.48万元，占</w:t>
      </w:r>
      <w:r>
        <w:rPr>
          <w:rFonts w:hint="eastAsia" w:ascii="仿宋" w:hAnsi="仿宋" w:eastAsia="仿宋"/>
          <w:color w:val="auto"/>
          <w:sz w:val="32"/>
          <w:szCs w:val="32"/>
          <w:lang w:val="en-US" w:eastAsia="zh-CN"/>
        </w:rPr>
        <w:t>90.46</w:t>
      </w:r>
      <w:r>
        <w:rPr>
          <w:rFonts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rPr>
        <w:t>其他收入165.37万元，占</w:t>
      </w:r>
      <w:r>
        <w:rPr>
          <w:rFonts w:hint="eastAsia" w:ascii="仿宋" w:hAnsi="仿宋" w:eastAsia="仿宋"/>
          <w:color w:val="auto"/>
          <w:sz w:val="32"/>
          <w:szCs w:val="32"/>
          <w:lang w:val="en-US" w:eastAsia="zh-CN"/>
        </w:rPr>
        <w:t>9.54</w:t>
      </w:r>
      <w:r>
        <w:rPr>
          <w:rFonts w:ascii="仿宋" w:hAnsi="仿宋" w:eastAsia="仿宋"/>
          <w:color w:val="auto"/>
          <w:sz w:val="32"/>
          <w:szCs w:val="32"/>
        </w:rPr>
        <w:t>%</w:t>
      </w:r>
      <w:r>
        <w:rPr>
          <w:rFonts w:hint="eastAsia" w:ascii="仿宋" w:hAnsi="仿宋" w:eastAsia="仿宋"/>
          <w:color w:val="auto"/>
          <w:sz w:val="32"/>
          <w:szCs w:val="32"/>
        </w:rPr>
        <w:t>。</w:t>
      </w:r>
    </w:p>
    <w:p>
      <w:pPr>
        <w:pStyle w:val="6"/>
      </w:pPr>
      <w:r>
        <w:rPr>
          <w:rFonts w:hint="eastAsia" w:ascii="仿宋" w:hAnsi="仿宋" w:eastAsia="仿宋"/>
          <w:color w:val="auto"/>
          <w:sz w:val="32"/>
          <w:szCs w:val="32"/>
        </w:rPr>
        <w:t>图2：收入决算结构图</w:t>
      </w:r>
      <w:r>
        <w:rPr>
          <w:rFonts w:hint="eastAsia" w:ascii="仿宋_GB2312" w:eastAsia="仿宋_GB2312"/>
          <w:color w:val="auto"/>
          <w:sz w:val="32"/>
          <w:szCs w:val="32"/>
          <w:lang w:eastAsia="zh-CN"/>
        </w:rPr>
        <w:drawing>
          <wp:anchor distT="0" distB="0" distL="114300" distR="114300" simplePos="0" relativeHeight="251660288" behindDoc="0" locked="0" layoutInCell="1" allowOverlap="1">
            <wp:simplePos x="0" y="0"/>
            <wp:positionH relativeFrom="column">
              <wp:posOffset>229235</wp:posOffset>
            </wp:positionH>
            <wp:positionV relativeFrom="paragraph">
              <wp:posOffset>79375</wp:posOffset>
            </wp:positionV>
            <wp:extent cx="4850130" cy="3054350"/>
            <wp:effectExtent l="4445" t="4445" r="13970" b="698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6"/>
        <w:rPr>
          <w:rFonts w:ascii="仿宋" w:hAnsi="仿宋" w:eastAsia="仿宋"/>
          <w:b/>
          <w:color w:val="auto"/>
          <w:sz w:val="32"/>
          <w:szCs w:val="32"/>
        </w:rPr>
      </w:pPr>
    </w:p>
    <w:p>
      <w:pPr>
        <w:pStyle w:val="6"/>
        <w:rPr>
          <w:rFonts w:ascii="仿宋" w:hAnsi="仿宋" w:eastAsia="仿宋"/>
          <w:b/>
          <w:color w:val="auto"/>
          <w:sz w:val="32"/>
          <w:szCs w:val="32"/>
        </w:rPr>
      </w:pPr>
    </w:p>
    <w:p>
      <w:pPr>
        <w:pStyle w:val="6"/>
        <w:rPr>
          <w:rFonts w:ascii="仿宋" w:hAnsi="仿宋" w:eastAsia="仿宋"/>
          <w:b/>
          <w:color w:val="auto"/>
          <w:sz w:val="32"/>
          <w:szCs w:val="32"/>
        </w:rPr>
      </w:pPr>
    </w:p>
    <w:p>
      <w:pPr>
        <w:pStyle w:val="6"/>
        <w:rPr>
          <w:rFonts w:ascii="仿宋" w:hAnsi="仿宋" w:eastAsia="仿宋"/>
          <w:b/>
          <w:color w:val="auto"/>
          <w:sz w:val="32"/>
          <w:szCs w:val="32"/>
        </w:rPr>
      </w:pPr>
    </w:p>
    <w:p>
      <w:pPr>
        <w:pStyle w:val="26"/>
        <w:numPr>
          <w:ilvl w:val="0"/>
          <w:numId w:val="2"/>
        </w:numPr>
        <w:spacing w:line="600" w:lineRule="exact"/>
        <w:ind w:firstLineChars="0"/>
        <w:outlineLvl w:val="1"/>
        <w:rPr>
          <w:rStyle w:val="28"/>
          <w:rFonts w:ascii="黑体" w:hAnsi="黑体" w:eastAsia="黑体"/>
          <w:b w:val="0"/>
          <w:color w:val="auto"/>
        </w:rPr>
      </w:pPr>
      <w:bookmarkStart w:id="22" w:name="_Toc15377207"/>
      <w:bookmarkStart w:id="23" w:name="_Toc15396605"/>
      <w:r>
        <w:rPr>
          <w:rFonts w:hint="eastAsia" w:ascii="黑体" w:hAnsi="黑体" w:eastAsia="黑体"/>
          <w:color w:val="auto"/>
          <w:sz w:val="32"/>
          <w:szCs w:val="32"/>
        </w:rPr>
        <w:t>支</w:t>
      </w:r>
      <w:r>
        <w:rPr>
          <w:rStyle w:val="28"/>
          <w:rFonts w:hint="eastAsia" w:ascii="黑体" w:hAnsi="黑体" w:eastAsia="黑体"/>
          <w:b w:val="0"/>
          <w:color w:val="auto"/>
        </w:rPr>
        <w:t>出决算情况说明</w:t>
      </w:r>
      <w:bookmarkEnd w:id="22"/>
      <w:bookmarkEnd w:id="23"/>
    </w:p>
    <w:p>
      <w:pPr>
        <w:spacing w:line="600" w:lineRule="exact"/>
        <w:ind w:firstLine="640" w:firstLineChars="200"/>
        <w:outlineLvl w:val="1"/>
        <w:rPr>
          <w:rFonts w:ascii="仿宋" w:hAnsi="仿宋" w:eastAsia="仿宋"/>
          <w:color w:val="auto"/>
          <w:sz w:val="32"/>
          <w:szCs w:val="32"/>
          <w:shd w:val="pct10" w:color="auto" w:fill="FFFFFF"/>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年本年支出合计1,732.85万元，其中：基本支出</w:t>
      </w:r>
      <w:r>
        <w:rPr>
          <w:rFonts w:hint="eastAsia" w:ascii="仿宋" w:hAnsi="仿宋" w:eastAsia="仿宋"/>
          <w:color w:val="auto"/>
          <w:sz w:val="32"/>
          <w:szCs w:val="32"/>
          <w:lang w:val="en-US" w:eastAsia="zh-CN"/>
        </w:rPr>
        <w:t>999.49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57.68</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733.37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43.32</w:t>
      </w:r>
      <w:r>
        <w:rPr>
          <w:rFonts w:ascii="仿宋" w:hAnsi="仿宋" w:eastAsia="仿宋"/>
          <w:color w:val="auto"/>
          <w:sz w:val="32"/>
          <w:szCs w:val="32"/>
        </w:rPr>
        <w:t>%</w:t>
      </w:r>
      <w:r>
        <w:rPr>
          <w:rFonts w:hint="eastAsia" w:ascii="仿宋" w:hAnsi="仿宋" w:eastAsia="仿宋"/>
          <w:color w:val="auto"/>
          <w:sz w:val="32"/>
          <w:szCs w:val="32"/>
        </w:rPr>
        <w:t>。</w:t>
      </w:r>
    </w:p>
    <w:p>
      <w:pPr>
        <w:pStyle w:val="6"/>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drawing>
          <wp:inline distT="0" distB="0" distL="114300" distR="114300">
            <wp:extent cx="4807585" cy="2371725"/>
            <wp:effectExtent l="4445" t="4445" r="13335"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8"/>
          <w:rFonts w:ascii="黑体" w:hAnsi="黑体" w:eastAsia="黑体"/>
          <w:b w:val="0"/>
          <w:color w:val="auto"/>
        </w:rPr>
      </w:pPr>
      <w:bookmarkStart w:id="24" w:name="_Toc15396606"/>
      <w:bookmarkStart w:id="25" w:name="_Toc15377208"/>
      <w:r>
        <w:rPr>
          <w:rFonts w:hint="eastAsia" w:ascii="黑体" w:hAnsi="黑体" w:eastAsia="黑体"/>
          <w:color w:val="auto"/>
          <w:sz w:val="32"/>
          <w:szCs w:val="32"/>
        </w:rPr>
        <w:t>四、财</w:t>
      </w:r>
      <w:r>
        <w:rPr>
          <w:rStyle w:val="28"/>
          <w:rFonts w:hint="eastAsia" w:ascii="黑体" w:hAnsi="黑体" w:eastAsia="黑体"/>
          <w:b w:val="0"/>
          <w:color w:val="auto"/>
        </w:rPr>
        <w:t>政拨款收入支出决算总体情况说明</w:t>
      </w:r>
      <w:bookmarkEnd w:id="24"/>
      <w:bookmarkEnd w:id="25"/>
    </w:p>
    <w:p>
      <w:pPr>
        <w:spacing w:line="600" w:lineRule="exact"/>
        <w:ind w:firstLine="640"/>
        <w:rPr>
          <w:rFonts w:hint="eastAsia" w:ascii="仿宋" w:hAnsi="仿宋" w:eastAsia="仿宋"/>
          <w:color w:val="auto"/>
          <w:sz w:val="32"/>
          <w:szCs w:val="32"/>
          <w:lang w:val="en-US" w:eastAsia="zh-CN"/>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年财政拨款收、支总计1,567.48万元。与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年相比，财政拨款收、支总计各减少</w:t>
      </w:r>
      <w:r>
        <w:rPr>
          <w:rFonts w:hint="eastAsia" w:ascii="仿宋" w:hAnsi="仿宋" w:eastAsia="仿宋"/>
          <w:color w:val="auto"/>
          <w:sz w:val="32"/>
          <w:szCs w:val="32"/>
          <w:lang w:val="en-US" w:eastAsia="zh-CN"/>
        </w:rPr>
        <w:t>471.01</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23.11</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val="en-US" w:eastAsia="zh-CN"/>
        </w:rPr>
        <w:t>项目支出减少。</w:t>
      </w:r>
    </w:p>
    <w:p>
      <w:pPr>
        <w:spacing w:line="600" w:lineRule="exact"/>
        <w:rPr>
          <w:rFonts w:hint="eastAsia" w:ascii="仿宋" w:hAnsi="仿宋" w:eastAsia="仿宋"/>
          <w:b/>
          <w:color w:val="auto"/>
          <w:sz w:val="32"/>
          <w:szCs w:val="32"/>
          <w:lang w:eastAsia="zh-CN"/>
        </w:rPr>
      </w:pPr>
      <w:r>
        <w:rPr>
          <w:rFonts w:hint="eastAsia" w:ascii="仿宋_GB2312" w:eastAsia="仿宋_GB2312"/>
          <w:color w:val="auto"/>
          <w:sz w:val="32"/>
          <w:szCs w:val="32"/>
          <w:lang w:eastAsia="zh-CN"/>
        </w:rPr>
        <w:drawing>
          <wp:anchor distT="0" distB="0" distL="114300" distR="114300" simplePos="0" relativeHeight="251661312" behindDoc="0" locked="0" layoutInCell="1" allowOverlap="1">
            <wp:simplePos x="0" y="0"/>
            <wp:positionH relativeFrom="column">
              <wp:posOffset>314325</wp:posOffset>
            </wp:positionH>
            <wp:positionV relativeFrom="paragraph">
              <wp:posOffset>163195</wp:posOffset>
            </wp:positionV>
            <wp:extent cx="4730115" cy="2534920"/>
            <wp:effectExtent l="4445" t="5080" r="15240" b="762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6"/>
        <w:rPr>
          <w:rFonts w:ascii="仿宋" w:hAnsi="仿宋" w:eastAsia="仿宋"/>
          <w:b/>
          <w:color w:val="auto"/>
          <w:sz w:val="32"/>
          <w:szCs w:val="32"/>
        </w:rPr>
      </w:pPr>
    </w:p>
    <w:p>
      <w:pPr>
        <w:pStyle w:val="6"/>
        <w:rPr>
          <w:rFonts w:ascii="仿宋" w:hAnsi="仿宋" w:eastAsia="仿宋"/>
          <w:b/>
          <w:color w:val="auto"/>
          <w:sz w:val="32"/>
          <w:szCs w:val="32"/>
        </w:rPr>
      </w:pPr>
    </w:p>
    <w:p>
      <w:pPr>
        <w:pStyle w:val="6"/>
        <w:rPr>
          <w:rFonts w:ascii="仿宋" w:hAnsi="仿宋" w:eastAsia="仿宋"/>
          <w:b/>
          <w:color w:val="auto"/>
          <w:sz w:val="32"/>
          <w:szCs w:val="32"/>
        </w:rPr>
      </w:pPr>
    </w:p>
    <w:p>
      <w:pPr>
        <w:pStyle w:val="6"/>
        <w:rPr>
          <w:rFonts w:ascii="仿宋" w:hAnsi="仿宋" w:eastAsia="仿宋"/>
          <w:b/>
          <w:color w:val="auto"/>
          <w:sz w:val="32"/>
          <w:szCs w:val="32"/>
        </w:rPr>
      </w:pPr>
    </w:p>
    <w:p>
      <w:pPr>
        <w:spacing w:line="600" w:lineRule="exact"/>
        <w:ind w:firstLine="640" w:firstLineChars="200"/>
        <w:outlineLvl w:val="1"/>
        <w:rPr>
          <w:rFonts w:hint="eastAsia" w:ascii="黑体" w:hAnsi="黑体" w:eastAsia="黑体"/>
          <w:color w:val="auto"/>
          <w:sz w:val="32"/>
          <w:szCs w:val="32"/>
        </w:rPr>
      </w:pPr>
      <w:bookmarkStart w:id="26" w:name="_Toc15396607"/>
      <w:bookmarkStart w:id="27" w:name="_Toc15377209"/>
    </w:p>
    <w:p>
      <w:pPr>
        <w:spacing w:line="600" w:lineRule="exact"/>
        <w:ind w:firstLine="640" w:firstLineChars="200"/>
        <w:outlineLvl w:val="1"/>
        <w:rPr>
          <w:rStyle w:val="28"/>
          <w:rFonts w:ascii="黑体" w:hAnsi="黑体" w:eastAsia="黑体"/>
          <w:b w:val="0"/>
          <w:color w:val="auto"/>
        </w:rPr>
      </w:pP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rPr>
      </w:pPr>
      <w:bookmarkStart w:id="28" w:name="_Toc15377210"/>
      <w:r>
        <w:rPr>
          <w:rFonts w:hint="eastAsia" w:ascii="仿宋" w:hAnsi="仿宋" w:eastAsia="仿宋"/>
          <w:b/>
          <w:color w:val="auto"/>
          <w:sz w:val="32"/>
          <w:szCs w:val="32"/>
        </w:rPr>
        <w:t>（一）一般公共预算财政拨款支出决算总体情况</w:t>
      </w:r>
      <w:bookmarkEnd w:id="28"/>
    </w:p>
    <w:p>
      <w:pPr>
        <w:spacing w:line="600" w:lineRule="exact"/>
        <w:ind w:firstLine="640" w:firstLineChars="200"/>
        <w:rPr>
          <w:rFonts w:ascii="仿宋" w:hAnsi="仿宋" w:eastAsia="仿宋"/>
          <w:color w:val="auto"/>
          <w:sz w:val="32"/>
          <w:szCs w:val="32"/>
        </w:rPr>
      </w:pPr>
      <w:r>
        <w:rPr>
          <w:rFonts w:hint="eastAsia" w:ascii="仿宋_GB2312" w:eastAsia="仿宋_GB2312"/>
          <w:color w:val="auto"/>
          <w:sz w:val="32"/>
          <w:szCs w:val="32"/>
          <w:lang w:eastAsia="zh-CN"/>
        </w:rPr>
        <w:drawing>
          <wp:anchor distT="0" distB="0" distL="114300" distR="114300" simplePos="0" relativeHeight="251662336" behindDoc="0" locked="0" layoutInCell="1" allowOverlap="1">
            <wp:simplePos x="0" y="0"/>
            <wp:positionH relativeFrom="column">
              <wp:posOffset>217805</wp:posOffset>
            </wp:positionH>
            <wp:positionV relativeFrom="paragraph">
              <wp:posOffset>1517650</wp:posOffset>
            </wp:positionV>
            <wp:extent cx="4730115" cy="2534920"/>
            <wp:effectExtent l="4445" t="5080" r="15240" b="762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年一般公共预算财政拨款支出1,567.48万元，占本年支出合计的</w:t>
      </w:r>
      <w:r>
        <w:rPr>
          <w:rFonts w:hint="eastAsia" w:ascii="仿宋" w:hAnsi="仿宋" w:eastAsia="仿宋"/>
          <w:color w:val="auto"/>
          <w:sz w:val="32"/>
          <w:szCs w:val="32"/>
          <w:lang w:val="en-US" w:eastAsia="zh-CN"/>
        </w:rPr>
        <w:t>90.46</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年相比，一般公共预算财政拨款减少</w:t>
      </w:r>
      <w:r>
        <w:rPr>
          <w:rFonts w:hint="eastAsia" w:ascii="仿宋" w:hAnsi="仿宋" w:eastAsia="仿宋"/>
          <w:color w:val="auto"/>
          <w:sz w:val="32"/>
          <w:szCs w:val="32"/>
          <w:lang w:val="en-US" w:eastAsia="zh-CN"/>
        </w:rPr>
        <w:t>471.01</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23.11</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val="en-US" w:eastAsia="zh-CN"/>
        </w:rPr>
        <w:t>项目支出减少。</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状图）</w:t>
      </w:r>
    </w:p>
    <w:p>
      <w:pPr>
        <w:pStyle w:val="6"/>
        <w:rPr>
          <w:rFonts w:hint="eastAsia" w:ascii="仿宋" w:hAnsi="仿宋" w:eastAsia="仿宋"/>
          <w:color w:val="auto"/>
          <w:sz w:val="32"/>
          <w:szCs w:val="32"/>
        </w:rPr>
      </w:pPr>
    </w:p>
    <w:p>
      <w:pPr>
        <w:pStyle w:val="6"/>
        <w:rPr>
          <w:rFonts w:hint="eastAsia" w:ascii="仿宋" w:hAnsi="仿宋" w:eastAsia="仿宋"/>
          <w:color w:val="auto"/>
          <w:sz w:val="32"/>
          <w:szCs w:val="32"/>
        </w:rPr>
      </w:pPr>
      <w:r>
        <w:rPr>
          <w:rFonts w:hint="eastAsia" w:ascii="仿宋" w:hAnsi="仿宋" w:eastAsia="仿宋"/>
          <w:color w:val="auto"/>
          <w:sz w:val="32"/>
          <w:szCs w:val="32"/>
        </w:rPr>
        <w:t>一般公共预算财政拨款支出决算变动</w:t>
      </w:r>
    </w:p>
    <w:p>
      <w:pPr>
        <w:pStyle w:val="6"/>
        <w:rPr>
          <w:rFonts w:hint="eastAsia" w:ascii="仿宋" w:hAnsi="仿宋" w:eastAsia="仿宋"/>
          <w:color w:val="auto"/>
          <w:sz w:val="32"/>
          <w:szCs w:val="32"/>
        </w:rPr>
      </w:pPr>
    </w:p>
    <w:p>
      <w:pPr>
        <w:pStyle w:val="6"/>
        <w:rPr>
          <w:rFonts w:hint="eastAsia"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3" w:firstLineChars="200"/>
        <w:outlineLvl w:val="2"/>
        <w:rPr>
          <w:rFonts w:ascii="仿宋" w:hAnsi="仿宋" w:eastAsia="仿宋"/>
          <w:b/>
          <w:color w:val="auto"/>
          <w:sz w:val="32"/>
          <w:szCs w:val="32"/>
        </w:rPr>
      </w:pPr>
      <w:bookmarkStart w:id="29" w:name="_Toc15377211"/>
      <w:r>
        <w:rPr>
          <w:rFonts w:hint="eastAsia" w:ascii="仿宋" w:hAnsi="仿宋" w:eastAsia="仿宋"/>
          <w:b/>
          <w:color w:val="auto"/>
          <w:sz w:val="32"/>
          <w:szCs w:val="32"/>
        </w:rPr>
        <w:t>（二）一般公共预算财政拨款支出决算结构情况</w:t>
      </w:r>
      <w:bookmarkEnd w:id="29"/>
    </w:p>
    <w:p>
      <w:pPr>
        <w:spacing w:line="600" w:lineRule="exact"/>
        <w:ind w:firstLine="640"/>
        <w:rPr>
          <w:rFonts w:hint="eastAsia" w:ascii="仿宋" w:hAnsi="仿宋" w:eastAsia="仿宋" w:cs="Times New Roman"/>
          <w:color w:val="auto"/>
          <w:sz w:val="32"/>
          <w:szCs w:val="32"/>
        </w:rPr>
      </w:pPr>
      <w:r>
        <w:rPr>
          <w:rFonts w:hint="eastAsia" w:ascii="仿宋" w:hAnsi="仿宋" w:eastAsia="仿宋" w:cs="Times New Roman"/>
          <w:color w:val="auto"/>
          <w:sz w:val="32"/>
          <w:szCs w:val="32"/>
        </w:rPr>
        <w:t>20</w:t>
      </w:r>
      <w:r>
        <w:rPr>
          <w:rFonts w:hint="eastAsia" w:ascii="仿宋" w:hAnsi="仿宋" w:eastAsia="仿宋" w:cs="Times New Roman"/>
          <w:color w:val="auto"/>
          <w:sz w:val="32"/>
          <w:szCs w:val="32"/>
          <w:lang w:val="en-US" w:eastAsia="zh-CN"/>
        </w:rPr>
        <w:t>20</w:t>
      </w:r>
      <w:r>
        <w:rPr>
          <w:rFonts w:hint="eastAsia" w:ascii="仿宋" w:hAnsi="仿宋" w:eastAsia="仿宋" w:cs="Times New Roman"/>
          <w:color w:val="auto"/>
          <w:sz w:val="32"/>
          <w:szCs w:val="32"/>
        </w:rPr>
        <w:t>年一般公共预算财政拨款支出1,567.48万元，主要用于以下方面:文化旅游体育与传媒（类）支出</w:t>
      </w:r>
      <w:r>
        <w:rPr>
          <w:rFonts w:hint="eastAsia" w:ascii="仿宋" w:hAnsi="仿宋" w:eastAsia="仿宋" w:cs="Times New Roman"/>
          <w:color w:val="auto"/>
          <w:sz w:val="32"/>
          <w:szCs w:val="32"/>
          <w:lang w:val="en-US" w:eastAsia="zh-CN"/>
        </w:rPr>
        <w:t>1,233.15</w:t>
      </w:r>
      <w:r>
        <w:rPr>
          <w:rFonts w:hint="eastAsia" w:ascii="仿宋" w:hAnsi="仿宋" w:eastAsia="仿宋" w:cs="Times New Roman"/>
          <w:color w:val="auto"/>
          <w:sz w:val="32"/>
          <w:szCs w:val="32"/>
        </w:rPr>
        <w:t>万元，占</w:t>
      </w:r>
      <w:r>
        <w:rPr>
          <w:rFonts w:hint="eastAsia" w:ascii="仿宋" w:hAnsi="仿宋" w:eastAsia="仿宋" w:cs="Times New Roman"/>
          <w:color w:val="auto"/>
          <w:sz w:val="32"/>
          <w:szCs w:val="32"/>
          <w:lang w:val="en-US" w:eastAsia="zh-CN"/>
        </w:rPr>
        <w:t>78.67</w:t>
      </w:r>
      <w:r>
        <w:rPr>
          <w:rFonts w:hint="eastAsia" w:ascii="仿宋" w:hAnsi="仿宋" w:eastAsia="仿宋" w:cs="Times New Roman"/>
          <w:color w:val="auto"/>
          <w:sz w:val="32"/>
          <w:szCs w:val="32"/>
        </w:rPr>
        <w:t>%；社会保障和就业（类）支出</w:t>
      </w:r>
      <w:r>
        <w:rPr>
          <w:rFonts w:hint="eastAsia" w:ascii="仿宋" w:hAnsi="仿宋" w:eastAsia="仿宋" w:cs="Times New Roman"/>
          <w:color w:val="auto"/>
          <w:sz w:val="32"/>
          <w:szCs w:val="32"/>
          <w:lang w:val="en-US" w:eastAsia="zh-CN"/>
        </w:rPr>
        <w:t>215.33</w:t>
      </w:r>
      <w:r>
        <w:rPr>
          <w:rFonts w:hint="eastAsia" w:ascii="仿宋" w:hAnsi="仿宋" w:eastAsia="仿宋" w:cs="Times New Roman"/>
          <w:color w:val="auto"/>
          <w:sz w:val="32"/>
          <w:szCs w:val="32"/>
        </w:rPr>
        <w:t>万元，占</w:t>
      </w:r>
      <w:r>
        <w:rPr>
          <w:rFonts w:hint="eastAsia" w:ascii="仿宋" w:hAnsi="仿宋" w:eastAsia="仿宋" w:cs="Times New Roman"/>
          <w:color w:val="auto"/>
          <w:sz w:val="32"/>
          <w:szCs w:val="32"/>
          <w:lang w:val="en-US" w:eastAsia="zh-CN"/>
        </w:rPr>
        <w:t>13.73</w:t>
      </w:r>
      <w:r>
        <w:rPr>
          <w:rFonts w:hint="eastAsia" w:ascii="仿宋" w:hAnsi="仿宋" w:eastAsia="仿宋" w:cs="Times New Roman"/>
          <w:color w:val="auto"/>
          <w:sz w:val="32"/>
          <w:szCs w:val="32"/>
        </w:rPr>
        <w:t>%；卫生健康支出</w:t>
      </w:r>
      <w:r>
        <w:rPr>
          <w:rFonts w:hint="eastAsia" w:ascii="仿宋" w:hAnsi="仿宋" w:eastAsia="仿宋" w:cs="Times New Roman"/>
          <w:color w:val="auto"/>
          <w:sz w:val="32"/>
          <w:szCs w:val="32"/>
          <w:lang w:val="en-US" w:eastAsia="zh-CN"/>
        </w:rPr>
        <w:t>65.00</w:t>
      </w:r>
      <w:r>
        <w:rPr>
          <w:rFonts w:hint="eastAsia" w:ascii="仿宋" w:hAnsi="仿宋" w:eastAsia="仿宋" w:cs="Times New Roman"/>
          <w:color w:val="auto"/>
          <w:sz w:val="32"/>
          <w:szCs w:val="32"/>
        </w:rPr>
        <w:t>万元，占</w:t>
      </w:r>
      <w:r>
        <w:rPr>
          <w:rFonts w:hint="eastAsia" w:ascii="仿宋" w:hAnsi="仿宋" w:eastAsia="仿宋" w:cs="Times New Roman"/>
          <w:color w:val="auto"/>
          <w:sz w:val="32"/>
          <w:szCs w:val="32"/>
          <w:lang w:val="en-US" w:eastAsia="zh-CN"/>
        </w:rPr>
        <w:t>4.15</w:t>
      </w:r>
      <w:r>
        <w:rPr>
          <w:rFonts w:hint="eastAsia" w:ascii="仿宋" w:hAnsi="仿宋" w:eastAsia="仿宋" w:cs="Times New Roman"/>
          <w:color w:val="auto"/>
          <w:sz w:val="32"/>
          <w:szCs w:val="32"/>
        </w:rPr>
        <w:t>%；住房保障支出</w:t>
      </w:r>
      <w:r>
        <w:rPr>
          <w:rFonts w:hint="eastAsia" w:ascii="仿宋" w:hAnsi="仿宋" w:eastAsia="仿宋" w:cs="Times New Roman"/>
          <w:color w:val="auto"/>
          <w:sz w:val="32"/>
          <w:szCs w:val="32"/>
          <w:lang w:val="en-US" w:eastAsia="zh-CN"/>
        </w:rPr>
        <w:t>54.00</w:t>
      </w:r>
      <w:r>
        <w:rPr>
          <w:rFonts w:hint="eastAsia" w:ascii="仿宋" w:hAnsi="仿宋" w:eastAsia="仿宋" w:cs="Times New Roman"/>
          <w:color w:val="auto"/>
          <w:sz w:val="32"/>
          <w:szCs w:val="32"/>
        </w:rPr>
        <w:t>万元，占</w:t>
      </w:r>
      <w:r>
        <w:rPr>
          <w:rFonts w:hint="eastAsia" w:ascii="仿宋" w:hAnsi="仿宋" w:eastAsia="仿宋" w:cs="Times New Roman"/>
          <w:color w:val="auto"/>
          <w:sz w:val="32"/>
          <w:szCs w:val="32"/>
          <w:lang w:val="en-US" w:eastAsia="zh-CN"/>
        </w:rPr>
        <w:t>3.45</w:t>
      </w:r>
      <w:r>
        <w:rPr>
          <w:rFonts w:hint="eastAsia" w:ascii="仿宋" w:hAnsi="仿宋" w:eastAsia="仿宋" w:cs="Times New Roman"/>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drawing>
          <wp:anchor distT="0" distB="0" distL="114300" distR="114300" simplePos="0" relativeHeight="251663360" behindDoc="0" locked="0" layoutInCell="1" allowOverlap="1">
            <wp:simplePos x="0" y="0"/>
            <wp:positionH relativeFrom="column">
              <wp:posOffset>246380</wp:posOffset>
            </wp:positionH>
            <wp:positionV relativeFrom="paragraph">
              <wp:posOffset>857885</wp:posOffset>
            </wp:positionV>
            <wp:extent cx="4935220" cy="2322195"/>
            <wp:effectExtent l="4445" t="4445" r="15240" b="508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rPr>
        <w:t>（图6：一般公共预算财政拨款支出决算结构）（饼状图）</w:t>
      </w:r>
    </w:p>
    <w:p>
      <w:pPr>
        <w:spacing w:line="600" w:lineRule="exact"/>
        <w:ind w:firstLine="643" w:firstLineChars="200"/>
        <w:outlineLvl w:val="2"/>
        <w:rPr>
          <w:rFonts w:ascii="仿宋" w:hAnsi="仿宋" w:eastAsia="仿宋"/>
          <w:b/>
          <w:color w:val="auto"/>
          <w:sz w:val="32"/>
          <w:szCs w:val="32"/>
        </w:rPr>
      </w:pPr>
      <w:bookmarkStart w:id="30" w:name="_Toc15377212"/>
      <w:r>
        <w:rPr>
          <w:rFonts w:hint="eastAsia" w:ascii="仿宋" w:hAnsi="仿宋" w:eastAsia="仿宋"/>
          <w:b/>
          <w:color w:val="auto"/>
          <w:sz w:val="32"/>
          <w:szCs w:val="32"/>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rPr>
      </w:pPr>
      <w:bookmarkStart w:id="31" w:name="_Toc15377444"/>
      <w:bookmarkStart w:id="32" w:name="_Toc15378460"/>
      <w:bookmarkStart w:id="33" w:name="_Toc15377213"/>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20</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一</w:t>
      </w:r>
      <w:r>
        <w:rPr>
          <w:rFonts w:hint="eastAsia" w:ascii="仿宋" w:hAnsi="仿宋" w:eastAsia="仿宋"/>
          <w:b/>
          <w:color w:val="auto"/>
          <w:sz w:val="32"/>
          <w:szCs w:val="32"/>
        </w:rPr>
        <w:t>般公共预算支出决算数为</w:t>
      </w:r>
      <w:r>
        <w:rPr>
          <w:rFonts w:hint="eastAsia" w:ascii="仿宋" w:hAnsi="仿宋" w:eastAsia="仿宋" w:cs="Times New Roman"/>
          <w:color w:val="auto"/>
          <w:sz w:val="32"/>
          <w:szCs w:val="32"/>
        </w:rPr>
        <w:t>1,567.48</w:t>
      </w:r>
      <w:r>
        <w:rPr>
          <w:rFonts w:hint="eastAsia" w:ascii="仿宋" w:hAnsi="仿宋" w:eastAsia="仿宋" w:cs="Times New Roman"/>
          <w:color w:val="auto"/>
          <w:sz w:val="32"/>
          <w:szCs w:val="32"/>
          <w:lang w:val="en-US" w:eastAsia="zh-CN"/>
        </w:rPr>
        <w:t>万元</w:t>
      </w:r>
      <w:r>
        <w:rPr>
          <w:rFonts w:hint="eastAsia" w:ascii="仿宋" w:hAnsi="仿宋" w:eastAsia="仿宋"/>
          <w:color w:val="auto"/>
          <w:sz w:val="32"/>
          <w:szCs w:val="32"/>
        </w:rPr>
        <w:t>，</w:t>
      </w:r>
      <w:r>
        <w:rPr>
          <w:rStyle w:val="17"/>
          <w:rFonts w:hint="eastAsia" w:ascii="仿宋" w:hAnsi="仿宋" w:eastAsia="仿宋"/>
          <w:bCs/>
          <w:color w:val="auto"/>
          <w:sz w:val="32"/>
          <w:szCs w:val="32"/>
        </w:rPr>
        <w:t>完成预算</w:t>
      </w:r>
      <w:r>
        <w:rPr>
          <w:rStyle w:val="17"/>
          <w:rFonts w:hint="eastAsia" w:ascii="仿宋" w:hAnsi="仿宋" w:eastAsia="仿宋"/>
          <w:bCs/>
          <w:color w:val="auto"/>
          <w:sz w:val="32"/>
          <w:szCs w:val="32"/>
          <w:lang w:val="en-US" w:eastAsia="zh-CN"/>
        </w:rPr>
        <w:t>100.00</w:t>
      </w:r>
      <w:r>
        <w:rPr>
          <w:rStyle w:val="17"/>
          <w:rFonts w:ascii="仿宋" w:hAnsi="仿宋" w:eastAsia="仿宋"/>
          <w:bCs/>
          <w:color w:val="auto"/>
          <w:sz w:val="32"/>
          <w:szCs w:val="32"/>
        </w:rPr>
        <w:t>%</w:t>
      </w:r>
      <w:r>
        <w:rPr>
          <w:rStyle w:val="17"/>
          <w:rFonts w:hint="eastAsia" w:ascii="仿宋" w:hAnsi="仿宋" w:eastAsia="仿宋"/>
          <w:bCs/>
          <w:color w:val="auto"/>
          <w:sz w:val="32"/>
          <w:szCs w:val="32"/>
        </w:rPr>
        <w:t>。其中：</w:t>
      </w:r>
      <w:bookmarkEnd w:id="31"/>
      <w:bookmarkEnd w:id="32"/>
      <w:bookmarkEnd w:id="33"/>
    </w:p>
    <w:p>
      <w:pPr>
        <w:numPr>
          <w:ilvl w:val="0"/>
          <w:numId w:val="0"/>
        </w:numPr>
        <w:spacing w:line="600" w:lineRule="exact"/>
        <w:ind w:firstLine="643" w:firstLineChars="200"/>
        <w:rPr>
          <w:rStyle w:val="17"/>
          <w:rFonts w:hint="eastAsia" w:ascii="仿宋" w:hAnsi="仿宋" w:eastAsia="仿宋"/>
          <w:b w:val="0"/>
          <w:bCs/>
          <w:color w:val="auto"/>
          <w:sz w:val="32"/>
          <w:szCs w:val="32"/>
          <w:lang w:eastAsia="zh-CN"/>
        </w:rPr>
      </w:pPr>
      <w:r>
        <w:rPr>
          <w:rStyle w:val="17"/>
          <w:rFonts w:hint="eastAsia" w:ascii="仿宋" w:hAnsi="仿宋" w:eastAsia="仿宋"/>
          <w:bCs/>
          <w:color w:val="auto"/>
          <w:sz w:val="32"/>
          <w:szCs w:val="32"/>
          <w:lang w:val="en-US" w:eastAsia="zh-CN"/>
        </w:rPr>
        <w:t>1.</w:t>
      </w:r>
      <w:r>
        <w:rPr>
          <w:rStyle w:val="17"/>
          <w:rFonts w:hint="eastAsia" w:ascii="仿宋" w:hAnsi="仿宋" w:eastAsia="仿宋"/>
          <w:bCs/>
          <w:color w:val="auto"/>
          <w:sz w:val="32"/>
          <w:szCs w:val="32"/>
        </w:rPr>
        <w:t>文化旅游体育与传媒（类）文化和旅游（款） 艺术表演团体（项）</w:t>
      </w:r>
      <w:r>
        <w:rPr>
          <w:rStyle w:val="17"/>
          <w:rFonts w:ascii="仿宋" w:hAnsi="仿宋" w:eastAsia="仿宋"/>
          <w:bCs/>
          <w:color w:val="auto"/>
          <w:sz w:val="32"/>
          <w:szCs w:val="32"/>
        </w:rPr>
        <w:t>:</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640.29</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，决算数等于预算数</w:t>
      </w:r>
      <w:r>
        <w:rPr>
          <w:rStyle w:val="17"/>
          <w:rFonts w:hint="eastAsia" w:ascii="仿宋" w:hAnsi="仿宋" w:eastAsia="仿宋"/>
          <w:b w:val="0"/>
          <w:bCs/>
          <w:color w:val="auto"/>
          <w:sz w:val="32"/>
          <w:szCs w:val="32"/>
          <w:lang w:eastAsia="zh-CN"/>
        </w:rPr>
        <w:t>。</w:t>
      </w:r>
    </w:p>
    <w:p>
      <w:pPr>
        <w:spacing w:line="600" w:lineRule="exact"/>
        <w:ind w:firstLine="643" w:firstLineChars="200"/>
        <w:rPr>
          <w:rStyle w:val="17"/>
          <w:rFonts w:hint="eastAsia" w:ascii="仿宋" w:hAnsi="仿宋" w:eastAsia="仿宋"/>
          <w:b w:val="0"/>
          <w:bCs/>
          <w:color w:val="auto"/>
          <w:sz w:val="32"/>
          <w:szCs w:val="32"/>
          <w:lang w:eastAsia="zh-CN"/>
        </w:rPr>
      </w:pPr>
      <w:r>
        <w:rPr>
          <w:rStyle w:val="17"/>
          <w:rFonts w:hint="eastAsia" w:ascii="仿宋" w:hAnsi="仿宋" w:eastAsia="仿宋"/>
          <w:bCs/>
          <w:color w:val="auto"/>
          <w:sz w:val="32"/>
          <w:szCs w:val="32"/>
          <w:lang w:val="en-US" w:eastAsia="zh-CN"/>
        </w:rPr>
        <w:t>2.</w:t>
      </w:r>
      <w:r>
        <w:rPr>
          <w:rStyle w:val="17"/>
          <w:rFonts w:hint="eastAsia" w:ascii="仿宋" w:hAnsi="仿宋" w:eastAsia="仿宋"/>
          <w:bCs/>
          <w:color w:val="auto"/>
          <w:sz w:val="32"/>
          <w:szCs w:val="32"/>
        </w:rPr>
        <w:t>文化旅游体育与传媒（类）文化和旅游（款）文化创作与保护（项）</w:t>
      </w:r>
      <w:r>
        <w:rPr>
          <w:rStyle w:val="17"/>
          <w:rFonts w:ascii="仿宋" w:hAnsi="仿宋" w:eastAsia="仿宋"/>
          <w:bCs/>
          <w:color w:val="auto"/>
          <w:sz w:val="32"/>
          <w:szCs w:val="32"/>
        </w:rPr>
        <w:t>:</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86.00</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，决算数等于预算数</w:t>
      </w:r>
      <w:r>
        <w:rPr>
          <w:rStyle w:val="17"/>
          <w:rFonts w:hint="eastAsia" w:ascii="仿宋" w:hAnsi="仿宋" w:eastAsia="仿宋"/>
          <w:b w:val="0"/>
          <w:bCs/>
          <w:color w:val="auto"/>
          <w:sz w:val="32"/>
          <w:szCs w:val="32"/>
          <w:lang w:eastAsia="zh-CN"/>
        </w:rPr>
        <w:t>。</w:t>
      </w:r>
    </w:p>
    <w:p>
      <w:pPr>
        <w:pStyle w:val="6"/>
        <w:numPr>
          <w:ilvl w:val="0"/>
          <w:numId w:val="0"/>
        </w:numPr>
        <w:ind w:firstLine="643" w:firstLineChars="200"/>
        <w:rPr>
          <w:rFonts w:hint="eastAsia"/>
          <w:lang w:eastAsia="zh-CN"/>
        </w:rPr>
      </w:pPr>
      <w:r>
        <w:rPr>
          <w:rStyle w:val="17"/>
          <w:rFonts w:hint="eastAsia" w:ascii="仿宋" w:hAnsi="仿宋" w:eastAsia="仿宋"/>
          <w:bCs/>
          <w:color w:val="auto"/>
          <w:sz w:val="32"/>
          <w:szCs w:val="32"/>
          <w:lang w:val="en-US" w:eastAsia="zh-CN"/>
        </w:rPr>
        <w:t>3.</w:t>
      </w:r>
      <w:r>
        <w:rPr>
          <w:rStyle w:val="17"/>
          <w:rFonts w:hint="eastAsia" w:ascii="仿宋" w:hAnsi="仿宋" w:eastAsia="仿宋"/>
          <w:bCs/>
          <w:color w:val="auto"/>
          <w:sz w:val="32"/>
          <w:szCs w:val="32"/>
        </w:rPr>
        <w:t>文化旅游体育与传媒（类）文化和旅游（款）其他文化和旅游支出（项）</w:t>
      </w:r>
      <w:r>
        <w:rPr>
          <w:rStyle w:val="17"/>
          <w:rFonts w:ascii="仿宋" w:hAnsi="仿宋" w:eastAsia="仿宋"/>
          <w:bCs/>
          <w:color w:val="auto"/>
          <w:sz w:val="32"/>
          <w:szCs w:val="32"/>
        </w:rPr>
        <w:t>:</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506.86</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，决算数等于预算数</w:t>
      </w:r>
      <w:r>
        <w:rPr>
          <w:rStyle w:val="17"/>
          <w:rFonts w:hint="eastAsia" w:ascii="仿宋" w:hAnsi="仿宋" w:eastAsia="仿宋"/>
          <w:b w:val="0"/>
          <w:bCs/>
          <w:color w:val="auto"/>
          <w:sz w:val="32"/>
          <w:szCs w:val="32"/>
          <w:lang w:eastAsia="zh-CN"/>
        </w:rPr>
        <w:t>。</w:t>
      </w:r>
    </w:p>
    <w:p>
      <w:pPr>
        <w:spacing w:line="600" w:lineRule="exact"/>
        <w:ind w:firstLine="643" w:firstLineChars="200"/>
        <w:rPr>
          <w:rFonts w:hint="eastAsia" w:ascii="仿宋" w:hAnsi="仿宋" w:eastAsia="仿宋"/>
          <w:b/>
          <w:color w:val="auto"/>
          <w:sz w:val="32"/>
          <w:szCs w:val="32"/>
          <w:lang w:eastAsia="zh-CN"/>
        </w:rPr>
      </w:pPr>
      <w:r>
        <w:rPr>
          <w:rStyle w:val="17"/>
          <w:rFonts w:hint="eastAsia" w:ascii="仿宋" w:hAnsi="仿宋" w:eastAsia="仿宋"/>
          <w:bCs/>
          <w:color w:val="auto"/>
          <w:sz w:val="32"/>
          <w:szCs w:val="32"/>
          <w:lang w:val="en-US" w:eastAsia="zh-CN"/>
        </w:rPr>
        <w:t>4</w:t>
      </w:r>
      <w:r>
        <w:rPr>
          <w:rStyle w:val="17"/>
          <w:rFonts w:ascii="仿宋" w:hAnsi="仿宋" w:eastAsia="仿宋"/>
          <w:bCs/>
          <w:color w:val="auto"/>
          <w:sz w:val="32"/>
          <w:szCs w:val="32"/>
        </w:rPr>
        <w:t>.</w:t>
      </w:r>
      <w:r>
        <w:rPr>
          <w:rStyle w:val="17"/>
          <w:rFonts w:hint="eastAsia" w:ascii="仿宋" w:hAnsi="仿宋" w:eastAsia="仿宋"/>
          <w:bCs/>
          <w:color w:val="auto"/>
          <w:sz w:val="32"/>
          <w:szCs w:val="32"/>
        </w:rPr>
        <w:t>社会保障和就业（类）行政事业单位养老支出（款）  事业单位离退休（项）</w:t>
      </w:r>
      <w:r>
        <w:rPr>
          <w:rStyle w:val="17"/>
          <w:rFonts w:ascii="仿宋" w:hAnsi="仿宋" w:eastAsia="仿宋"/>
          <w:bCs/>
          <w:color w:val="auto"/>
          <w:sz w:val="32"/>
          <w:szCs w:val="32"/>
        </w:rPr>
        <w:t>:</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56.28</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，决算数等于预算数</w:t>
      </w:r>
      <w:r>
        <w:rPr>
          <w:rStyle w:val="17"/>
          <w:rFonts w:hint="eastAsia" w:ascii="仿宋" w:hAnsi="仿宋" w:eastAsia="仿宋"/>
          <w:b w:val="0"/>
          <w:bCs/>
          <w:color w:val="auto"/>
          <w:sz w:val="32"/>
          <w:szCs w:val="32"/>
          <w:lang w:eastAsia="zh-CN"/>
        </w:rPr>
        <w:t>。</w:t>
      </w:r>
    </w:p>
    <w:p>
      <w:pPr>
        <w:spacing w:line="600" w:lineRule="exact"/>
        <w:ind w:firstLine="643" w:firstLineChars="200"/>
        <w:rPr>
          <w:rStyle w:val="17"/>
          <w:rFonts w:hint="eastAsia" w:ascii="仿宋" w:hAnsi="仿宋" w:eastAsia="仿宋"/>
          <w:b w:val="0"/>
          <w:bCs/>
          <w:color w:val="auto"/>
          <w:sz w:val="32"/>
          <w:szCs w:val="32"/>
          <w:lang w:eastAsia="zh-CN"/>
        </w:rPr>
      </w:pPr>
      <w:r>
        <w:rPr>
          <w:rStyle w:val="17"/>
          <w:rFonts w:hint="eastAsia" w:ascii="仿宋" w:hAnsi="仿宋" w:eastAsia="仿宋"/>
          <w:bCs/>
          <w:color w:val="auto"/>
          <w:sz w:val="32"/>
          <w:szCs w:val="32"/>
          <w:lang w:val="en-US" w:eastAsia="zh-CN"/>
        </w:rPr>
        <w:t>5.</w:t>
      </w:r>
      <w:r>
        <w:rPr>
          <w:rStyle w:val="17"/>
          <w:rFonts w:hint="eastAsia" w:ascii="仿宋" w:hAnsi="仿宋" w:eastAsia="仿宋"/>
          <w:bCs/>
          <w:color w:val="auto"/>
          <w:sz w:val="32"/>
          <w:szCs w:val="32"/>
        </w:rPr>
        <w:t>社会保障和就业（类）行政事业单位养老支出（款）  机关事业单位职业年金缴费支出（项）</w:t>
      </w:r>
      <w:r>
        <w:rPr>
          <w:rStyle w:val="17"/>
          <w:rFonts w:ascii="仿宋" w:hAnsi="仿宋" w:eastAsia="仿宋"/>
          <w:bCs/>
          <w:color w:val="auto"/>
          <w:sz w:val="32"/>
          <w:szCs w:val="32"/>
        </w:rPr>
        <w:t>:</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53.00</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，决算数等于预算数</w:t>
      </w:r>
      <w:r>
        <w:rPr>
          <w:rStyle w:val="17"/>
          <w:rFonts w:hint="eastAsia" w:ascii="仿宋" w:hAnsi="仿宋" w:eastAsia="仿宋"/>
          <w:b w:val="0"/>
          <w:bCs/>
          <w:color w:val="auto"/>
          <w:sz w:val="32"/>
          <w:szCs w:val="32"/>
          <w:lang w:eastAsia="zh-CN"/>
        </w:rPr>
        <w:t>。</w:t>
      </w:r>
    </w:p>
    <w:p>
      <w:pPr>
        <w:spacing w:line="600" w:lineRule="exact"/>
        <w:ind w:firstLine="640" w:firstLineChars="200"/>
        <w:rPr>
          <w:rFonts w:ascii="仿宋" w:hAnsi="仿宋" w:eastAsia="仿宋"/>
          <w:b/>
          <w:color w:val="auto"/>
          <w:sz w:val="32"/>
          <w:szCs w:val="32"/>
        </w:rPr>
      </w:pPr>
      <w:r>
        <w:rPr>
          <w:rStyle w:val="17"/>
          <w:rFonts w:hint="eastAsia" w:ascii="仿宋" w:hAnsi="仿宋" w:eastAsia="仿宋"/>
          <w:b w:val="0"/>
          <w:bCs/>
          <w:color w:val="auto"/>
          <w:sz w:val="32"/>
          <w:szCs w:val="32"/>
          <w:lang w:val="en-US" w:eastAsia="zh-CN"/>
        </w:rPr>
        <w:t>6.</w:t>
      </w:r>
      <w:r>
        <w:rPr>
          <w:rStyle w:val="17"/>
          <w:rFonts w:hint="eastAsia" w:ascii="仿宋" w:hAnsi="仿宋" w:eastAsia="仿宋"/>
          <w:bCs/>
          <w:color w:val="auto"/>
          <w:sz w:val="32"/>
          <w:szCs w:val="32"/>
        </w:rPr>
        <w:t>社会保障和就业（类）其他社会保障和就业支出（款）   其他社会保障和就业支出（项）</w:t>
      </w:r>
      <w:r>
        <w:rPr>
          <w:rStyle w:val="17"/>
          <w:rFonts w:ascii="仿宋" w:hAnsi="仿宋" w:eastAsia="仿宋"/>
          <w:bCs/>
          <w:color w:val="auto"/>
          <w:sz w:val="32"/>
          <w:szCs w:val="32"/>
        </w:rPr>
        <w:t>:</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0.05</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，决算数等于预算数</w:t>
      </w:r>
      <w:r>
        <w:rPr>
          <w:rStyle w:val="17"/>
          <w:rFonts w:hint="eastAsia" w:ascii="仿宋" w:hAnsi="仿宋" w:eastAsia="仿宋"/>
          <w:b w:val="0"/>
          <w:bCs/>
          <w:color w:val="auto"/>
          <w:sz w:val="32"/>
          <w:szCs w:val="32"/>
          <w:lang w:eastAsia="zh-CN"/>
        </w:rPr>
        <w:t>。</w:t>
      </w:r>
    </w:p>
    <w:p>
      <w:pPr>
        <w:spacing w:line="600" w:lineRule="exact"/>
        <w:ind w:firstLine="643" w:firstLineChars="200"/>
        <w:rPr>
          <w:rStyle w:val="17"/>
          <w:rFonts w:hint="eastAsia" w:ascii="仿宋" w:hAnsi="仿宋" w:eastAsia="仿宋"/>
          <w:b w:val="0"/>
          <w:bCs/>
          <w:color w:val="auto"/>
          <w:sz w:val="32"/>
          <w:szCs w:val="32"/>
          <w:lang w:eastAsia="zh-CN"/>
        </w:rPr>
      </w:pPr>
      <w:r>
        <w:rPr>
          <w:rStyle w:val="17"/>
          <w:rFonts w:hint="eastAsia" w:ascii="仿宋" w:hAnsi="仿宋" w:eastAsia="仿宋"/>
          <w:bCs/>
          <w:color w:val="auto"/>
          <w:sz w:val="32"/>
          <w:szCs w:val="32"/>
          <w:lang w:val="en-US" w:eastAsia="zh-CN"/>
        </w:rPr>
        <w:t>7</w:t>
      </w:r>
      <w:r>
        <w:rPr>
          <w:rStyle w:val="17"/>
          <w:rFonts w:ascii="仿宋" w:hAnsi="仿宋" w:eastAsia="仿宋"/>
          <w:bCs/>
          <w:color w:val="auto"/>
          <w:sz w:val="32"/>
          <w:szCs w:val="32"/>
        </w:rPr>
        <w:t>.</w:t>
      </w:r>
      <w:r>
        <w:rPr>
          <w:rFonts w:hint="eastAsia" w:ascii="仿宋" w:hAnsi="仿宋" w:eastAsia="仿宋"/>
          <w:b/>
          <w:bCs/>
          <w:color w:val="auto"/>
          <w:sz w:val="32"/>
          <w:szCs w:val="32"/>
        </w:rPr>
        <w:t>卫生健康</w:t>
      </w:r>
      <w:r>
        <w:rPr>
          <w:rStyle w:val="17"/>
          <w:rFonts w:hint="eastAsia" w:ascii="仿宋" w:hAnsi="仿宋" w:eastAsia="仿宋"/>
          <w:bCs/>
          <w:color w:val="auto"/>
          <w:sz w:val="32"/>
          <w:szCs w:val="32"/>
        </w:rPr>
        <w:t>（类）行政事业单位医疗（款）事业单位医疗（项）</w:t>
      </w:r>
      <w:r>
        <w:rPr>
          <w:rStyle w:val="17"/>
          <w:rFonts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65</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，决算数等于预算数</w:t>
      </w:r>
      <w:r>
        <w:rPr>
          <w:rStyle w:val="17"/>
          <w:rFonts w:hint="eastAsia" w:ascii="仿宋" w:hAnsi="仿宋" w:eastAsia="仿宋"/>
          <w:b w:val="0"/>
          <w:bCs/>
          <w:color w:val="auto"/>
          <w:sz w:val="32"/>
          <w:szCs w:val="32"/>
          <w:lang w:eastAsia="zh-CN"/>
        </w:rPr>
        <w:t>。</w:t>
      </w:r>
    </w:p>
    <w:p>
      <w:pPr>
        <w:spacing w:line="600" w:lineRule="exact"/>
        <w:ind w:firstLine="643" w:firstLineChars="200"/>
        <w:rPr>
          <w:rFonts w:hint="default"/>
          <w:lang w:val="en-US"/>
        </w:rPr>
      </w:pPr>
      <w:r>
        <w:rPr>
          <w:rFonts w:hint="eastAsia" w:ascii="仿宋" w:hAnsi="仿宋" w:eastAsia="仿宋"/>
          <w:b/>
          <w:bCs/>
          <w:color w:val="auto"/>
          <w:sz w:val="32"/>
          <w:szCs w:val="32"/>
          <w:lang w:val="en-US" w:eastAsia="zh-CN"/>
        </w:rPr>
        <w:t>8.住房保障支出</w:t>
      </w:r>
      <w:r>
        <w:rPr>
          <w:rFonts w:hint="eastAsia" w:ascii="仿宋" w:hAnsi="仿宋" w:eastAsia="仿宋"/>
          <w:b/>
          <w:bCs/>
          <w:color w:val="auto"/>
          <w:sz w:val="32"/>
          <w:szCs w:val="32"/>
        </w:rPr>
        <w:t>（类）住房改革支出（款）住房公积金（项）</w:t>
      </w:r>
      <w:r>
        <w:rPr>
          <w:rStyle w:val="17"/>
          <w:rFonts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54</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，决算数等于预算数</w:t>
      </w:r>
      <w:r>
        <w:rPr>
          <w:rStyle w:val="17"/>
          <w:rFonts w:hint="eastAsia" w:ascii="仿宋" w:hAnsi="仿宋" w:eastAsia="仿宋"/>
          <w:b w:val="0"/>
          <w:bCs/>
          <w:color w:val="auto"/>
          <w:sz w:val="32"/>
          <w:szCs w:val="32"/>
          <w:lang w:eastAsia="zh-CN"/>
        </w:rPr>
        <w:t>。</w:t>
      </w:r>
    </w:p>
    <w:p>
      <w:pPr>
        <w:tabs>
          <w:tab w:val="right" w:pos="8306"/>
        </w:tabs>
        <w:spacing w:line="600" w:lineRule="exact"/>
        <w:ind w:firstLine="640"/>
        <w:outlineLvl w:val="1"/>
        <w:rPr>
          <w:rStyle w:val="28"/>
          <w:color w:val="auto"/>
        </w:rPr>
      </w:pPr>
      <w:bookmarkStart w:id="34" w:name="_Toc15377214"/>
      <w:bookmarkStart w:id="35"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般公共预算财政拨款基本支出决算情况说明</w:t>
      </w:r>
      <w:bookmarkEnd w:id="34"/>
      <w:bookmarkEnd w:id="35"/>
      <w:r>
        <w:rPr>
          <w:rStyle w:val="28"/>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年一般公共预算财政拨款基本支出</w:t>
      </w:r>
      <w:r>
        <w:rPr>
          <w:rFonts w:hint="eastAsia" w:ascii="仿宋" w:hAnsi="仿宋" w:eastAsia="仿宋" w:cs="Times New Roman"/>
          <w:color w:val="auto"/>
          <w:sz w:val="32"/>
          <w:szCs w:val="32"/>
        </w:rPr>
        <w:t>1,567.48</w:t>
      </w:r>
      <w:r>
        <w:rPr>
          <w:rFonts w:hint="eastAsia" w:ascii="仿宋" w:hAnsi="仿宋" w:eastAsia="仿宋"/>
          <w:color w:val="auto"/>
          <w:sz w:val="32"/>
          <w:szCs w:val="32"/>
        </w:rPr>
        <w:t>万元，其中：</w:t>
      </w:r>
    </w:p>
    <w:p>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871.58</w:t>
      </w:r>
      <w:r>
        <w:rPr>
          <w:rFonts w:hint="eastAsia" w:ascii="仿宋" w:hAnsi="仿宋" w:eastAsia="仿宋"/>
          <w:color w:val="auto"/>
          <w:sz w:val="32"/>
          <w:szCs w:val="32"/>
        </w:rPr>
        <w:t>万元，主要包括：基本工资、津贴补贴、绩效工资、机关事业单位基本养老保险缴费、职业年金缴费、</w:t>
      </w:r>
      <w:r>
        <w:rPr>
          <w:rFonts w:hint="eastAsia" w:ascii="仿宋" w:hAnsi="仿宋" w:eastAsia="仿宋"/>
          <w:color w:val="auto"/>
          <w:sz w:val="32"/>
          <w:szCs w:val="32"/>
          <w:lang w:val="en-US" w:eastAsia="zh-CN"/>
        </w:rPr>
        <w:t>职工基本一轮保险缴费、</w:t>
      </w:r>
      <w:r>
        <w:rPr>
          <w:rFonts w:hint="eastAsia" w:ascii="仿宋" w:hAnsi="仿宋" w:eastAsia="仿宋"/>
          <w:color w:val="auto"/>
          <w:sz w:val="32"/>
          <w:szCs w:val="32"/>
        </w:rPr>
        <w:t>其他社会保障缴费、其他工资福利支出</w:t>
      </w:r>
      <w:r>
        <w:rPr>
          <w:rFonts w:hint="eastAsia" w:ascii="仿宋" w:hAnsi="仿宋" w:eastAsia="仿宋"/>
          <w:color w:val="auto"/>
          <w:sz w:val="32"/>
          <w:szCs w:val="32"/>
          <w:lang w:val="en-US" w:eastAsia="zh-CN"/>
        </w:rPr>
        <w:t>、生活补助、其他个人和家庭生活补助支出</w:t>
      </w:r>
      <w:r>
        <w:rPr>
          <w:rFonts w:hint="eastAsia" w:ascii="仿宋" w:hAnsi="仿宋" w:eastAsia="仿宋"/>
          <w:color w:val="auto"/>
          <w:sz w:val="32"/>
          <w:szCs w:val="32"/>
        </w:rPr>
        <w:t>。</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rFonts w:hint="eastAsia" w:ascii="仿宋" w:hAnsi="仿宋" w:eastAsia="仿宋"/>
          <w:color w:val="auto"/>
          <w:sz w:val="32"/>
          <w:szCs w:val="32"/>
          <w:lang w:val="en-US" w:eastAsia="zh-CN"/>
        </w:rPr>
        <w:t>43.86</w:t>
      </w:r>
      <w:r>
        <w:rPr>
          <w:rFonts w:hint="eastAsia" w:ascii="仿宋" w:hAnsi="仿宋" w:eastAsia="仿宋"/>
          <w:color w:val="auto"/>
          <w:sz w:val="32"/>
          <w:szCs w:val="32"/>
        </w:rPr>
        <w:t>万元，主要包括：办公费、手续费、邮电费、差旅费等。</w:t>
      </w:r>
    </w:p>
    <w:p>
      <w:pPr>
        <w:spacing w:line="600" w:lineRule="exact"/>
        <w:ind w:firstLine="640"/>
        <w:outlineLvl w:val="1"/>
        <w:rPr>
          <w:rStyle w:val="28"/>
          <w:rFonts w:ascii="黑体" w:hAnsi="黑体" w:eastAsia="黑体"/>
          <w:b w:val="0"/>
          <w:color w:val="auto"/>
        </w:rPr>
      </w:pPr>
      <w:bookmarkStart w:id="36" w:name="_Toc15396609"/>
      <w:bookmarkStart w:id="37" w:name="_Toc15377215"/>
      <w:r>
        <w:rPr>
          <w:rFonts w:hint="eastAsia" w:ascii="黑体" w:eastAsia="黑体"/>
          <w:color w:val="auto"/>
          <w:sz w:val="32"/>
          <w:szCs w:val="32"/>
        </w:rPr>
        <w:t>七、</w:t>
      </w:r>
      <w:r>
        <w:rPr>
          <w:rStyle w:val="28"/>
          <w:rFonts w:hint="eastAsia" w:ascii="黑体" w:hAnsi="黑体" w:eastAsia="黑体"/>
          <w:color w:val="auto"/>
        </w:rPr>
        <w:t>“</w:t>
      </w:r>
      <w:r>
        <w:rPr>
          <w:rStyle w:val="28"/>
          <w:rFonts w:hint="eastAsia" w:ascii="黑体" w:hAnsi="黑体" w:eastAsia="黑体"/>
          <w:b w:val="0"/>
          <w:color w:val="auto"/>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rPr>
      </w:pPr>
      <w:bookmarkStart w:id="38" w:name="_Toc15377216"/>
      <w:r>
        <w:rPr>
          <w:rFonts w:hint="eastAsia" w:ascii="仿宋" w:hAnsi="仿宋" w:eastAsia="仿宋"/>
          <w:b/>
          <w:color w:val="auto"/>
          <w:sz w:val="32"/>
          <w:szCs w:val="32"/>
        </w:rPr>
        <w:t>（一）“三公”经费财政拨款支出决算总体情况说明</w:t>
      </w:r>
      <w:bookmarkEnd w:id="38"/>
    </w:p>
    <w:p>
      <w:pPr>
        <w:spacing w:line="600" w:lineRule="exact"/>
        <w:ind w:firstLine="640"/>
        <w:rPr>
          <w:rFonts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0.47</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outlineLvl w:val="2"/>
        <w:rPr>
          <w:rFonts w:ascii="仿宋" w:hAnsi="仿宋" w:eastAsia="仿宋"/>
          <w:b/>
          <w:color w:val="auto"/>
          <w:sz w:val="32"/>
          <w:szCs w:val="32"/>
        </w:rPr>
      </w:pPr>
      <w:bookmarkStart w:id="39" w:name="_Toc15377217"/>
      <w:r>
        <w:rPr>
          <w:rFonts w:hint="eastAsia" w:ascii="仿宋" w:hAnsi="仿宋" w:eastAsia="仿宋"/>
          <w:b/>
          <w:color w:val="auto"/>
          <w:sz w:val="32"/>
          <w:szCs w:val="32"/>
        </w:rPr>
        <w:t>（二）“三公”经费财政拨款支出决算具体情况说明</w:t>
      </w:r>
      <w:bookmarkEnd w:id="39"/>
    </w:p>
    <w:p>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年“三公”经费财政拨款支出决算中，因公出国（境）费支出决算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0.47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100.00</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。具体情况如下：</w:t>
      </w:r>
    </w:p>
    <w:p>
      <w:pPr>
        <w:spacing w:line="600" w:lineRule="exact"/>
        <w:ind w:firstLine="640"/>
        <w:rPr>
          <w:rFonts w:hint="eastAsia" w:ascii="仿宋" w:hAnsi="仿宋" w:eastAsia="仿宋"/>
          <w:color w:val="auto"/>
          <w:sz w:val="32"/>
          <w:szCs w:val="32"/>
        </w:rPr>
      </w:pPr>
      <w:r>
        <w:rPr>
          <w:rFonts w:hint="eastAsia" w:ascii="仿宋" w:hAnsi="仿宋" w:eastAsia="仿宋"/>
          <w:color w:val="auto"/>
          <w:sz w:val="32"/>
          <w:szCs w:val="32"/>
        </w:rPr>
        <w:t>（图7：“三公”经费财政拨款支出结构）（饼状图）</w:t>
      </w:r>
    </w:p>
    <w:p>
      <w:pPr>
        <w:pStyle w:val="6"/>
        <w:rPr>
          <w:rFonts w:hint="eastAsia" w:ascii="仿宋" w:hAnsi="仿宋" w:eastAsia="仿宋"/>
          <w:color w:val="auto"/>
          <w:sz w:val="32"/>
          <w:szCs w:val="32"/>
          <w:lang w:eastAsia="zh-CN"/>
        </w:rPr>
      </w:pPr>
      <w:r>
        <w:rPr>
          <w:rFonts w:hint="eastAsia" w:ascii="仿宋" w:hAnsi="仿宋" w:eastAsia="仿宋"/>
          <w:color w:val="auto"/>
          <w:sz w:val="32"/>
          <w:szCs w:val="32"/>
          <w:lang w:eastAsia="zh-CN"/>
        </w:rPr>
        <w:drawing>
          <wp:inline distT="0" distB="0" distL="114300" distR="114300">
            <wp:extent cx="5032375" cy="2600960"/>
            <wp:effectExtent l="4445" t="4445" r="15240" b="698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次，出国（境）</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人。因公出国（境）支出决算比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年减少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lang w:val="en-US" w:eastAsia="zh-CN"/>
        </w:rPr>
        <w:t>0.47</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Fonts w:hint="eastAsia" w:ascii="仿宋_GB2312" w:eastAsia="仿宋_GB2312"/>
          <w:color w:val="auto"/>
          <w:sz w:val="32"/>
          <w:szCs w:val="32"/>
        </w:rPr>
        <w:t>。</w:t>
      </w:r>
    </w:p>
    <w:p>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万元。全年按规定更新购置公务用车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p>
    <w:p>
      <w:pPr>
        <w:spacing w:line="600" w:lineRule="exact"/>
        <w:ind w:firstLine="640"/>
        <w:rPr>
          <w:rFonts w:ascii="仿宋_GB2312" w:eastAsia="仿宋_GB2312"/>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lang w:val="en-US" w:eastAsia="zh-CN"/>
        </w:rPr>
        <w:t>0.47</w:t>
      </w:r>
      <w:r>
        <w:rPr>
          <w:rFonts w:hint="eastAsia" w:ascii="仿宋_GB2312" w:eastAsia="仿宋_GB2312"/>
          <w:color w:val="auto"/>
          <w:sz w:val="32"/>
          <w:szCs w:val="32"/>
        </w:rPr>
        <w:t>万元。主要用于</w:t>
      </w:r>
      <w:r>
        <w:rPr>
          <w:rFonts w:hint="eastAsia" w:ascii="仿宋_GB2312" w:eastAsia="仿宋_GB2312"/>
          <w:color w:val="auto"/>
          <w:sz w:val="32"/>
          <w:szCs w:val="32"/>
          <w:lang w:val="en-US" w:eastAsia="zh-CN"/>
        </w:rPr>
        <w:t>外出公务办事、联系演出业务</w:t>
      </w:r>
      <w:r>
        <w:rPr>
          <w:rFonts w:hint="eastAsia" w:ascii="仿宋_GB2312" w:eastAsia="仿宋_GB2312"/>
          <w:color w:val="auto"/>
          <w:sz w:val="32"/>
          <w:szCs w:val="32"/>
        </w:rPr>
        <w:t>等所需的公务用车燃料费、维修费、过路过桥费、保险费等支出。</w:t>
      </w: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pPr>
        <w:spacing w:line="600" w:lineRule="exact"/>
        <w:ind w:firstLine="640"/>
        <w:rPr>
          <w:rFonts w:ascii="仿宋_GB2312" w:eastAsia="仿宋_GB2312"/>
          <w:color w:val="auto"/>
          <w:sz w:val="32"/>
          <w:szCs w:val="32"/>
        </w:rPr>
      </w:pPr>
      <w:r>
        <w:rPr>
          <w:rFonts w:hint="eastAsia" w:ascii="仿宋" w:hAnsi="仿宋" w:eastAsia="仿宋"/>
          <w:b/>
          <w:color w:val="auto"/>
          <w:sz w:val="32"/>
          <w:szCs w:val="32"/>
        </w:rPr>
        <w:t>国内公务接待支出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w:t>
      </w:r>
    </w:p>
    <w:p>
      <w:pPr>
        <w:spacing w:line="600" w:lineRule="exact"/>
        <w:ind w:firstLine="643" w:firstLineChars="200"/>
        <w:rPr>
          <w:rFonts w:ascii="黑体" w:eastAsia="黑体"/>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bookmarkStart w:id="40" w:name="_Toc15377218"/>
      <w:bookmarkStart w:id="41" w:name="_Toc15396610"/>
    </w:p>
    <w:p>
      <w:pPr>
        <w:spacing w:line="600" w:lineRule="exact"/>
        <w:ind w:firstLine="640"/>
        <w:outlineLvl w:val="1"/>
        <w:rPr>
          <w:rStyle w:val="28"/>
          <w:rFonts w:ascii="黑体" w:hAnsi="黑体" w:eastAsia="黑体"/>
          <w:color w:val="auto"/>
        </w:rPr>
      </w:pPr>
      <w:r>
        <w:rPr>
          <w:rFonts w:hint="eastAsia" w:ascii="黑体" w:eastAsia="黑体"/>
          <w:color w:val="auto"/>
          <w:sz w:val="32"/>
          <w:szCs w:val="32"/>
        </w:rPr>
        <w:t>八、</w:t>
      </w:r>
      <w:r>
        <w:rPr>
          <w:rStyle w:val="28"/>
          <w:rFonts w:hint="eastAsia" w:ascii="黑体" w:hAnsi="黑体" w:eastAsia="黑体"/>
          <w:b w:val="0"/>
          <w:color w:val="auto"/>
        </w:rPr>
        <w:t>政府性基金预算支出决算情况说明</w:t>
      </w:r>
      <w:bookmarkEnd w:id="40"/>
      <w:bookmarkEnd w:id="41"/>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年政府性基金预算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3"/>
        </w:numPr>
        <w:spacing w:line="600" w:lineRule="exact"/>
        <w:ind w:firstLine="640"/>
        <w:outlineLvl w:val="1"/>
        <w:rPr>
          <w:rStyle w:val="28"/>
          <w:rFonts w:ascii="黑体" w:hAnsi="黑体" w:eastAsia="黑体"/>
          <w:b w:val="0"/>
          <w:color w:val="auto"/>
        </w:rPr>
      </w:pPr>
      <w:bookmarkStart w:id="42" w:name="_Toc15396611"/>
      <w:bookmarkStart w:id="43" w:name="_Toc15377219"/>
      <w:r>
        <w:rPr>
          <w:rStyle w:val="28"/>
          <w:rFonts w:hint="eastAsia" w:ascii="黑体" w:hAnsi="黑体" w:eastAsia="黑体"/>
          <w:b w:val="0"/>
          <w:color w:val="auto"/>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年国有资本经营预算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3"/>
        </w:numPr>
        <w:spacing w:line="600" w:lineRule="exact"/>
        <w:ind w:firstLine="640"/>
        <w:outlineLvl w:val="1"/>
        <w:rPr>
          <w:rStyle w:val="28"/>
          <w:rFonts w:hint="eastAsia" w:ascii="黑体" w:hAnsi="黑体" w:eastAsia="黑体"/>
          <w:b w:val="0"/>
          <w:color w:val="auto"/>
        </w:rPr>
      </w:pPr>
      <w:bookmarkStart w:id="44" w:name="_Toc15377221"/>
      <w:bookmarkStart w:id="45" w:name="_Toc15396612"/>
      <w:r>
        <w:rPr>
          <w:rStyle w:val="28"/>
          <w:rFonts w:hint="eastAsia" w:ascii="黑体" w:hAnsi="黑体" w:eastAsia="黑体"/>
          <w:b w:val="0"/>
          <w:color w:val="auto"/>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rPr>
      </w:pPr>
      <w:bookmarkStart w:id="46" w:name="_Toc15377222"/>
      <w:r>
        <w:rPr>
          <w:rFonts w:hint="eastAsia" w:ascii="仿宋" w:hAnsi="仿宋" w:eastAsia="仿宋"/>
          <w:b/>
          <w:color w:val="auto"/>
          <w:sz w:val="32"/>
          <w:szCs w:val="32"/>
        </w:rPr>
        <w:t>（一）机关运行经费支出情况</w:t>
      </w:r>
      <w:bookmarkEnd w:id="46"/>
    </w:p>
    <w:p>
      <w:pPr>
        <w:spacing w:line="600" w:lineRule="exact"/>
        <w:ind w:firstLine="640" w:firstLineChars="200"/>
        <w:rPr>
          <w:rFonts w:ascii="仿宋" w:hAnsi="仿宋" w:eastAsia="仿宋"/>
          <w:b/>
          <w:color w:val="auto"/>
          <w:sz w:val="32"/>
          <w:szCs w:val="32"/>
        </w:rPr>
      </w:pPr>
      <w:r>
        <w:rPr>
          <w:rFonts w:hint="eastAsia" w:ascii="仿宋_GB2312" w:eastAsia="仿宋_GB2312"/>
          <w:color w:val="auto"/>
          <w:sz w:val="32"/>
          <w:szCs w:val="32"/>
          <w:lang w:eastAsia="zh-CN"/>
        </w:rPr>
        <w:t>事业单位无机关运行经费支出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7" w:name="_Toc15377223"/>
      <w:r>
        <w:rPr>
          <w:rFonts w:hint="eastAsia" w:ascii="仿宋" w:hAnsi="仿宋" w:eastAsia="仿宋"/>
          <w:b/>
          <w:color w:val="auto"/>
          <w:sz w:val="32"/>
          <w:szCs w:val="32"/>
        </w:rPr>
        <w:t>（二）政府采购支出情况</w:t>
      </w:r>
      <w:bookmarkEnd w:id="47"/>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年，政府采购支出总额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万元、政府采购工程支出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授予中小企业合同金额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8" w:name="_Toc15377224"/>
      <w:r>
        <w:rPr>
          <w:rFonts w:hint="eastAsia" w:ascii="仿宋" w:hAnsi="仿宋" w:eastAsia="仿宋"/>
          <w:b/>
          <w:color w:val="auto"/>
          <w:sz w:val="32"/>
          <w:szCs w:val="32"/>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我院</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辆，其中：主要领导干部用车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辆、应急保障用车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辆、其他用车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w:t>
      </w:r>
      <w:r>
        <w:rPr>
          <w:rFonts w:hint="eastAsia" w:ascii="仿宋_GB2312" w:eastAsia="仿宋_GB2312"/>
          <w:color w:val="auto"/>
          <w:sz w:val="32"/>
          <w:szCs w:val="32"/>
          <w:lang w:eastAsia="zh-CN"/>
        </w:rPr>
        <w:t>，</w:t>
      </w:r>
      <w:r>
        <w:rPr>
          <w:rFonts w:hint="eastAsia" w:ascii="仿宋_GB2312" w:eastAsia="仿宋_GB2312"/>
          <w:color w:val="auto"/>
          <w:sz w:val="32"/>
          <w:szCs w:val="32"/>
        </w:rPr>
        <w:t>其他用车主要是用于</w:t>
      </w:r>
      <w:r>
        <w:rPr>
          <w:rFonts w:hint="eastAsia" w:ascii="仿宋_GB2312" w:eastAsia="仿宋_GB2312"/>
          <w:color w:val="auto"/>
          <w:sz w:val="32"/>
          <w:szCs w:val="32"/>
          <w:lang w:val="en-US" w:eastAsia="zh-CN"/>
        </w:rPr>
        <w:t>日常公务公务车，</w:t>
      </w:r>
      <w:r>
        <w:rPr>
          <w:rFonts w:hint="eastAsia" w:ascii="仿宋_GB2312" w:eastAsia="仿宋_GB2312"/>
          <w:color w:val="auto"/>
          <w:sz w:val="32"/>
          <w:szCs w:val="32"/>
        </w:rPr>
        <w:t>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w:t>
      </w:r>
      <w:r>
        <w:rPr>
          <w:rFonts w:hint="eastAsia" w:ascii="仿宋_GB2312" w:hAnsi="仿宋_GB2312" w:eastAsia="仿宋_GB2312" w:cs="仿宋_GB2312"/>
          <w:color w:val="auto"/>
          <w:sz w:val="32"/>
          <w:szCs w:val="32"/>
          <w:lang w:val="en-US" w:eastAsia="zh-CN"/>
        </w:rPr>
        <w:t>2020年度</w:t>
      </w:r>
      <w:r>
        <w:rPr>
          <w:rFonts w:hint="eastAsia" w:ascii="仿宋_GB2312" w:hAnsi="仿宋_GB2312" w:eastAsia="仿宋_GB2312" w:cs="仿宋_GB2312"/>
          <w:color w:val="auto"/>
          <w:sz w:val="32"/>
          <w:szCs w:val="32"/>
        </w:rPr>
        <w:t>预算编制阶段，组织对</w:t>
      </w:r>
      <w:r>
        <w:rPr>
          <w:rFonts w:hint="eastAsia" w:ascii="仿宋_GB2312" w:hAnsi="仿宋_GB2312" w:eastAsia="仿宋_GB2312" w:cs="仿宋_GB2312"/>
          <w:color w:val="auto"/>
          <w:sz w:val="32"/>
          <w:szCs w:val="32"/>
          <w:lang w:val="en-US" w:eastAsia="zh-CN"/>
        </w:rPr>
        <w:t>0个</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个项目开展了绩效目标完成情况自评。</w:t>
      </w:r>
    </w:p>
    <w:p>
      <w:pPr>
        <w:spacing w:line="580" w:lineRule="exact"/>
        <w:ind w:firstLine="640" w:firstLineChars="200"/>
        <w:rPr>
          <w:rFonts w:ascii="仿宋_GB2312" w:eastAsia="仿宋_GB2312"/>
          <w:b/>
          <w:color w:val="auto"/>
          <w:sz w:val="32"/>
          <w:szCs w:val="32"/>
          <w:highlight w:val="yellow"/>
        </w:rPr>
      </w:pPr>
      <w:r>
        <w:rPr>
          <w:rFonts w:hint="eastAsia" w:ascii="仿宋_GB2312" w:hAnsi="仿宋_GB2312" w:eastAsia="仿宋_GB2312" w:cs="仿宋_GB2312"/>
          <w:color w:val="auto"/>
          <w:sz w:val="32"/>
          <w:szCs w:val="32"/>
          <w:lang w:val="en-US" w:eastAsia="zh-CN"/>
        </w:rPr>
        <w:t>按照相关要求</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整体支出开展绩效自评</w:t>
      </w:r>
      <w:r>
        <w:rPr>
          <w:rFonts w:hint="eastAsia" w:ascii="仿宋_GB2312" w:hAnsi="仿宋_GB2312" w:eastAsia="仿宋_GB2312" w:cs="仿宋_GB2312"/>
          <w:color w:val="auto"/>
          <w:sz w:val="32"/>
          <w:szCs w:val="32"/>
          <w:lang w:eastAsia="zh-CN"/>
        </w:rPr>
        <w:t>。自评情况见附件。</w:t>
      </w:r>
      <w:r>
        <w:rPr>
          <w:rFonts w:ascii="仿宋_GB2312" w:eastAsia="仿宋_GB2312"/>
          <w:b/>
          <w:color w:val="auto"/>
          <w:sz w:val="32"/>
          <w:szCs w:val="32"/>
          <w:highlight w:val="yellow"/>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color w:val="000000"/>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val="en-US" w:eastAsia="zh-CN"/>
        </w:rPr>
        <w:t>演出收入</w:t>
      </w:r>
      <w:r>
        <w:rPr>
          <w:rFonts w:hint="eastAsia" w:ascii="仿宋_GB2312" w:eastAsia="仿宋_GB2312"/>
          <w:sz w:val="32"/>
          <w:szCs w:val="32"/>
        </w:rPr>
        <w:t>等。</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lang w:eastAsia="zh-CN"/>
        </w:rPr>
        <w:t>使用非财政拨款结余</w:t>
      </w:r>
      <w:r>
        <w:rPr>
          <w:rFonts w:hint="eastAsia" w:ascii="仿宋_GB2312" w:eastAsia="仿宋_GB2312"/>
          <w:sz w:val="32"/>
          <w:szCs w:val="32"/>
        </w:rPr>
        <w:t>：指事业单位</w:t>
      </w:r>
      <w:r>
        <w:rPr>
          <w:rFonts w:hint="eastAsia" w:ascii="仿宋_GB2312" w:eastAsia="仿宋_GB2312"/>
          <w:sz w:val="32"/>
          <w:szCs w:val="32"/>
          <w:lang w:eastAsia="zh-CN"/>
        </w:rPr>
        <w:t>使用以前年度积累的非财政拨款结余弥补当年收支差额的金额。</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结余分配：指事业单位按照会计制度规定</w:t>
      </w:r>
      <w:r>
        <w:rPr>
          <w:rFonts w:hint="eastAsia" w:ascii="仿宋_GB2312" w:eastAsia="仿宋_GB2312"/>
          <w:sz w:val="32"/>
          <w:szCs w:val="32"/>
          <w:lang w:eastAsia="zh-CN"/>
        </w:rPr>
        <w:t>缴纳的所得税、提取的专用结余以及转入非财政拨款结余的金额</w:t>
      </w:r>
      <w:r>
        <w:rPr>
          <w:rFonts w:hint="eastAsia" w:ascii="仿宋_GB2312" w:eastAsia="仿宋_GB2312"/>
          <w:sz w:val="32"/>
          <w:szCs w:val="32"/>
        </w:rPr>
        <w:t>等。</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文化体育与传媒（类）文化和旅游（款） 艺术表演团体（项）：指</w:t>
      </w:r>
      <w:r>
        <w:rPr>
          <w:rFonts w:hint="eastAsia" w:ascii="仿宋_GB2312" w:eastAsia="仿宋_GB2312"/>
          <w:color w:val="000000"/>
          <w:sz w:val="32"/>
          <w:szCs w:val="32"/>
          <w:lang w:val="en-US" w:eastAsia="zh-CN"/>
        </w:rPr>
        <w:t>文化及其他主管部门的剧院（团）等艺术表演团体的支出</w:t>
      </w:r>
      <w:r>
        <w:rPr>
          <w:rFonts w:hint="eastAsia" w:ascii="仿宋_GB2312" w:eastAsia="仿宋_GB2312"/>
          <w:color w:val="000000"/>
          <w:sz w:val="32"/>
          <w:szCs w:val="32"/>
        </w:rPr>
        <w:t>。</w:t>
      </w:r>
    </w:p>
    <w:p>
      <w:pPr>
        <w:pStyle w:val="2"/>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文化体育与传媒（类）文化和旅游（款）文化创作与保护（项）：</w:t>
      </w:r>
      <w:r>
        <w:rPr>
          <w:rFonts w:hint="eastAsia" w:ascii="仿宋_GB2312" w:eastAsia="仿宋_GB2312"/>
          <w:color w:val="000000"/>
          <w:sz w:val="32"/>
          <w:szCs w:val="32"/>
          <w:lang w:val="en-US" w:eastAsia="zh-CN"/>
        </w:rPr>
        <w:t>鼓励文学、艺术创作和优秀传统文化保护方面的支出</w:t>
      </w:r>
      <w:r>
        <w:rPr>
          <w:rFonts w:hint="eastAsia" w:ascii="仿宋_GB2312" w:eastAsia="仿宋_GB2312"/>
          <w:color w:val="000000"/>
          <w:sz w:val="32"/>
          <w:szCs w:val="32"/>
        </w:rPr>
        <w:t>。</w:t>
      </w:r>
    </w:p>
    <w:p>
      <w:pPr>
        <w:pStyle w:val="2"/>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文化体育与传媒（类）文化和旅游（款）其他文化和旅游支出（项）：</w:t>
      </w:r>
      <w:r>
        <w:rPr>
          <w:rFonts w:hint="eastAsia" w:ascii="仿宋_GB2312" w:eastAsia="仿宋_GB2312"/>
          <w:color w:val="000000"/>
          <w:sz w:val="32"/>
          <w:szCs w:val="32"/>
          <w:lang w:val="en-US" w:eastAsia="zh-CN"/>
        </w:rPr>
        <w:t>除上述项目以外其他用于文化和旅游方面的支出</w:t>
      </w:r>
      <w:r>
        <w:rPr>
          <w:rFonts w:hint="eastAsia" w:ascii="仿宋_GB2312" w:eastAsia="仿宋_GB2312"/>
          <w:color w:val="000000"/>
          <w:sz w:val="32"/>
          <w:szCs w:val="32"/>
        </w:rPr>
        <w:t>。</w:t>
      </w:r>
    </w:p>
    <w:p>
      <w:pPr>
        <w:rPr>
          <w:rFonts w:hint="default" w:eastAsia="仿宋_GB2312"/>
          <w:lang w:val="en-US" w:eastAsia="zh-CN"/>
        </w:rPr>
      </w:pPr>
    </w:p>
    <w:p>
      <w:pPr>
        <w:numPr>
          <w:ilvl w:val="0"/>
          <w:numId w:val="5"/>
        </w:num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社会保障和就业（类）行政事业单位养老支出（款）机关事业单位基本养老保险缴费支出（项）：指</w:t>
      </w:r>
      <w:r>
        <w:rPr>
          <w:rFonts w:hint="eastAsia" w:ascii="仿宋_GB2312" w:eastAsia="仿宋_GB2312"/>
          <w:color w:val="000000"/>
          <w:sz w:val="32"/>
          <w:szCs w:val="32"/>
          <w:lang w:val="en-US" w:eastAsia="zh-CN"/>
        </w:rPr>
        <w:t>各级财政部门对机关事业单位基本养老保险基金收支缺口的补助</w:t>
      </w:r>
      <w:r>
        <w:rPr>
          <w:rFonts w:hint="eastAsia" w:ascii="仿宋_GB2312" w:eastAsia="仿宋_GB2312"/>
          <w:color w:val="000000"/>
          <w:sz w:val="32"/>
          <w:szCs w:val="32"/>
        </w:rPr>
        <w:t>。</w:t>
      </w:r>
    </w:p>
    <w:p>
      <w:pPr>
        <w:ind w:firstLine="640" w:firstLineChars="200"/>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社会保障和就业（类）行政事业单位养老支出（款）机关事业单位职业年金缴费支出（项）：指</w:t>
      </w:r>
      <w:r>
        <w:rPr>
          <w:rFonts w:hint="eastAsia" w:ascii="仿宋_GB2312" w:eastAsia="仿宋_GB2312"/>
          <w:color w:val="000000"/>
          <w:sz w:val="32"/>
          <w:szCs w:val="32"/>
          <w:lang w:val="en-US" w:eastAsia="zh-CN"/>
        </w:rPr>
        <w:t>各级机关事业单位试试养老保险制度由单位实际缴纳的职业年金支出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医疗卫生与计划生育（类）行政事业单位医疗（款）事业单位医疗（项）：指</w:t>
      </w:r>
      <w:r>
        <w:rPr>
          <w:rFonts w:hint="eastAsia" w:ascii="仿宋_GB2312" w:eastAsia="仿宋_GB2312"/>
          <w:color w:val="000000"/>
          <w:sz w:val="32"/>
          <w:szCs w:val="32"/>
          <w:lang w:val="en-US" w:eastAsia="zh-CN"/>
        </w:rPr>
        <w:t>财政部门安排的事业单位基本医疗保险缴费经费，未参加医疗保险的事业单位的公费医疗经费，按国家规定享受离休人员待遇的医疗经费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.住房保障支出（类）住房改革支出（款）住房 公积金（项）：</w:t>
      </w:r>
      <w:r>
        <w:rPr>
          <w:rFonts w:hint="eastAsia" w:ascii="仿宋_GB2312" w:eastAsia="仿宋_GB2312"/>
          <w:color w:val="000000"/>
          <w:sz w:val="32"/>
          <w:szCs w:val="32"/>
        </w:rPr>
        <w:t>反映行政事业单位按人力资源和社会保障部、 财政部规定的基本工资和津贴补贴以及规定比例为职工缴纳的住房公积金。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hint="eastAsia" w:ascii="黑体" w:hAnsi="黑体" w:eastAsia="黑体"/>
          <w:b w:val="0"/>
          <w:highlight w:val="none"/>
        </w:rPr>
      </w:pPr>
      <w:bookmarkStart w:id="51" w:name="_Toc15377226"/>
      <w:r>
        <w:rPr>
          <w:rFonts w:ascii="宋体"/>
          <w:b/>
          <w:color w:val="000000"/>
          <w:sz w:val="44"/>
          <w:szCs w:val="44"/>
        </w:rPr>
        <w:br w:type="page"/>
      </w:r>
      <w:bookmarkStart w:id="52" w:name="_Toc15396614"/>
      <w:r>
        <w:rPr>
          <w:rFonts w:hint="eastAsia" w:ascii="黑体" w:hAnsi="黑体" w:eastAsia="黑体"/>
          <w:color w:val="000000"/>
          <w:sz w:val="44"/>
          <w:szCs w:val="44"/>
          <w:highlight w:val="none"/>
        </w:rPr>
        <w:t>第</w:t>
      </w:r>
      <w:r>
        <w:rPr>
          <w:rStyle w:val="27"/>
          <w:rFonts w:hint="eastAsia" w:ascii="黑体" w:hAnsi="黑体" w:eastAsia="黑体"/>
          <w:b w:val="0"/>
          <w:highlight w:val="none"/>
        </w:rPr>
        <w:t>四部分 附件</w:t>
      </w:r>
      <w:bookmarkEnd w:id="52"/>
    </w:p>
    <w:p>
      <w:pPr>
        <w:pStyle w:val="2"/>
      </w:pPr>
    </w:p>
    <w:p>
      <w:pPr>
        <w:spacing w:line="220" w:lineRule="atLeast"/>
        <w:jc w:val="center"/>
        <w:rPr>
          <w:rFonts w:ascii="方正粗黑宋简体" w:hAnsi="方正粗黑宋简体" w:eastAsia="方正粗黑宋简体" w:cs="方正粗黑宋简体"/>
          <w:sz w:val="44"/>
          <w:szCs w:val="44"/>
        </w:rPr>
      </w:pPr>
      <w:bookmarkStart w:id="53" w:name="_Toc15396618"/>
      <w:r>
        <w:rPr>
          <w:rFonts w:hint="eastAsia" w:ascii="方正粗黑宋简体" w:hAnsi="方正粗黑宋简体" w:eastAsia="方正粗黑宋简体" w:cs="方正粗黑宋简体"/>
          <w:sz w:val="44"/>
          <w:szCs w:val="44"/>
        </w:rPr>
        <w:t>四川省曲艺研究院</w:t>
      </w:r>
    </w:p>
    <w:p>
      <w:pPr>
        <w:spacing w:line="220" w:lineRule="atLeast"/>
        <w:jc w:val="center"/>
        <w:rPr>
          <w:rFonts w:ascii="方正粗黑宋简体" w:hAnsi="方正粗黑宋简体" w:eastAsia="方正粗黑宋简体" w:cs="方正粗黑宋简体"/>
          <w:sz w:val="44"/>
          <w:szCs w:val="44"/>
        </w:rPr>
      </w:pPr>
      <w:r>
        <w:rPr>
          <w:rFonts w:hint="eastAsia" w:ascii="方正粗黑宋简体" w:hAnsi="方正粗黑宋简体" w:eastAsia="方正粗黑宋简体" w:cs="方正粗黑宋简体"/>
          <w:sz w:val="44"/>
          <w:szCs w:val="44"/>
        </w:rPr>
        <w:t>20</w:t>
      </w:r>
      <w:r>
        <w:rPr>
          <w:rFonts w:hint="eastAsia" w:ascii="方正粗黑宋简体" w:hAnsi="方正粗黑宋简体" w:eastAsia="方正粗黑宋简体" w:cs="方正粗黑宋简体"/>
          <w:sz w:val="44"/>
          <w:szCs w:val="44"/>
          <w:lang w:val="en-US" w:eastAsia="zh-CN"/>
        </w:rPr>
        <w:t>20</w:t>
      </w:r>
      <w:r>
        <w:rPr>
          <w:rFonts w:hint="eastAsia" w:ascii="方正粗黑宋简体" w:hAnsi="方正粗黑宋简体" w:eastAsia="方正粗黑宋简体" w:cs="方正粗黑宋简体"/>
          <w:sz w:val="44"/>
          <w:szCs w:val="44"/>
        </w:rPr>
        <w:t>年部门支出绩效评价报告</w:t>
      </w:r>
    </w:p>
    <w:p>
      <w:pPr>
        <w:spacing w:afterLines="100" w:line="220" w:lineRule="atLeas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一、单位概况</w:t>
      </w:r>
    </w:p>
    <w:p>
      <w:pPr>
        <w:pStyle w:val="14"/>
        <w:spacing w:before="0" w:beforeAutospacing="0" w:after="0" w:afterAutospacing="0" w:line="360" w:lineRule="auto"/>
        <w:ind w:firstLine="640" w:firstLineChars="200"/>
        <w:jc w:val="both"/>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川省曲艺研究院成立于1963年，现任院长沈军。我院是国家级非物质文化遗产项目保护单位，省级非物质文化遗产曲艺类研究基地，国家级非物质文化遗产项目四川扬琴传承基地。主要传承、表演、研究项目包括清音、扬琴、竹琴、金钱板、谐剧等十余个国家级和四川省级非物质文化遗产种类，以及小品、散打评书、民族声乐、民族器乐、四川方言剧、四川曲剧等。我院是四川曲艺人才培养基地。历经半个世纪，我院培养和荟萃了一大批才华横溢的老、中、青艺术家，原有中国曲艺家协会副主席、四川扬琴大师李德才；谐剧创始人王永梭；川派荷叶名师何克纯等。如今，省曲艺研究院拥有国家一级、二级表演艺术家、编剧作曲家和著名演员60余位,其中有3位国家级传承人和3位省级传承人。</w:t>
      </w:r>
    </w:p>
    <w:p>
      <w:pPr>
        <w:spacing w:after="0" w:line="36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（一）、机构组成</w:t>
      </w:r>
    </w:p>
    <w:p>
      <w:pPr>
        <w:adjustRightInd/>
        <w:snapToGrid/>
        <w:spacing w:after="0" w:line="36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我院下设10个部门，主要包括：办公室、财务科、人事科、艺术中心、演员队、乐队、舞美队、非遗研究室、宣传科、外联部。</w:t>
      </w:r>
    </w:p>
    <w:p>
      <w:pPr>
        <w:adjustRightInd/>
        <w:snapToGrid/>
        <w:spacing w:after="0" w:line="36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(二)、机构职能</w:t>
      </w:r>
    </w:p>
    <w:p>
      <w:pPr>
        <w:adjustRightInd/>
        <w:snapToGrid/>
        <w:spacing w:after="0" w:line="360" w:lineRule="auto"/>
        <w:ind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办公室：负责各类文件的上传下达和记录归档；职工学习和各种行政会议；日常值班；来访接待；报刊分送；配合领导做好党务工作和工会工作；后勤保障（水电气及办公区域的安全保卫保洁工作）；综合治理。</w:t>
      </w:r>
    </w:p>
    <w:p>
      <w:pPr>
        <w:adjustRightInd/>
        <w:snapToGrid/>
        <w:spacing w:after="0" w:line="360" w:lineRule="auto"/>
        <w:ind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（2）财务科：负责财务制度学习和执行；院团内部财务制度执行和管理；年度财务预、决算；定期向主管领导汇报财务运行状况；监督、指导其他科室和各项目经费的日常划拨和使用。</w:t>
      </w:r>
    </w:p>
    <w:p>
      <w:pPr>
        <w:adjustRightInd/>
        <w:snapToGrid/>
        <w:spacing w:after="0" w:line="360" w:lineRule="auto"/>
        <w:ind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（3）人事科：负责人员招聘（人员调动）录用；职称评审；工资绩效统计；人事档案管理；员工考勤；保险；退休人员管理。</w:t>
      </w:r>
    </w:p>
    <w:p>
      <w:pPr>
        <w:adjustRightInd/>
        <w:snapToGrid/>
        <w:spacing w:after="0" w:line="360" w:lineRule="auto"/>
        <w:ind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（4）艺术中心：负责艺术创作生产；排练；演出协调；非遗保护传承研究；宣传推广。</w:t>
      </w:r>
    </w:p>
    <w:p>
      <w:pPr>
        <w:adjustRightInd/>
        <w:snapToGrid/>
        <w:spacing w:after="0" w:line="360" w:lineRule="auto"/>
        <w:ind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（5）演员队：负责演员队人员日常管理；演员人员的联系协调；协调基本功训练；演员队曲艺类乐器管理和演出使用；部分曲艺特殊小型道具管理和使用。</w:t>
      </w:r>
    </w:p>
    <w:p>
      <w:pPr>
        <w:adjustRightInd/>
        <w:snapToGrid/>
        <w:spacing w:after="0" w:line="360" w:lineRule="auto"/>
        <w:ind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（6）乐队：负责乐队人员日常管理；乐员人员的联系协调；协调基本功训练；乐队乐器管理和演出使用；协调乐谱收集整理。</w:t>
      </w:r>
    </w:p>
    <w:p>
      <w:pPr>
        <w:adjustRightInd/>
        <w:snapToGrid/>
        <w:spacing w:after="0" w:line="360" w:lineRule="auto"/>
        <w:ind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（7）舞美队：负责灯光音响、服装、道具管理和演出使用；促进灯光音响操作技术的学习和提高。</w:t>
      </w:r>
    </w:p>
    <w:p>
      <w:pPr>
        <w:adjustRightInd/>
        <w:snapToGrid/>
        <w:spacing w:after="0" w:line="360" w:lineRule="auto"/>
        <w:ind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非遗研究室：对接上级主管部门非物质文化遗产处、科技教育处等部门下达的工作安排；需其他部门配合完成的工作应及时向该部门提供材料及协助。非遗传承、保护、研究，非遗项目及传承人申报、执行、实施等；艺术研究及社科项目申报、执行、实施等。</w:t>
      </w:r>
    </w:p>
    <w:p>
      <w:pPr>
        <w:adjustRightInd/>
        <w:snapToGrid/>
        <w:spacing w:after="0" w:line="360" w:lineRule="auto"/>
        <w:ind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宣传科：对接上级主管部门宣传推广处等部门下达的工作安排；需其他部门配合完成的工作应及时向该部门提供材料及协助。负责文化发展、文艺创作、整体形象等活动的宣传工作；负责信息网络建设、单位局域网的日常维护宣传；负责思想政治宣传工作信息的采集、筛选、加工、传送、反馈等。</w:t>
      </w:r>
    </w:p>
    <w:p>
      <w:pPr>
        <w:adjustRightInd/>
        <w:snapToGrid/>
        <w:spacing w:after="0" w:line="360" w:lineRule="auto"/>
        <w:ind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10）外联部：对接上级主管部门市场管理处、宣传推广处、国际交流与合作处（港澳台办公室）等部门下达的工作安排；需其他部门配合完成的工作应及时向该部门提供材料及协助。负责对外联络商洽、拓展演出业务、票务推广等相关工作。</w:t>
      </w:r>
    </w:p>
    <w:p>
      <w:pPr>
        <w:adjustRightInd/>
        <w:snapToGrid/>
        <w:spacing w:after="0" w:line="36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（三）、人员概况</w:t>
      </w:r>
    </w:p>
    <w:p>
      <w:pPr>
        <w:spacing w:after="0" w:line="36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在职人数89人，外聘职人数26人，其中：</w:t>
      </w:r>
    </w:p>
    <w:p>
      <w:pPr>
        <w:adjustRightInd/>
        <w:snapToGrid/>
        <w:spacing w:after="0" w:line="36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（1）管理人员15人。其中：正处：3人，正科：6人，副科：5人，科员：1人。</w:t>
      </w:r>
    </w:p>
    <w:p>
      <w:pPr>
        <w:spacing w:after="0" w:line="36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（2）专业技术人员69人。其中：正高职称1人，副高职称20人，中级职称32人，初级职称16人。</w:t>
      </w:r>
    </w:p>
    <w:p>
      <w:pPr>
        <w:spacing w:after="0" w:line="360" w:lineRule="auto"/>
        <w:ind w:firstLine="640" w:firstLineChars="200"/>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（3）技术工人5人。中级工：1人，初级工：4人。</w:t>
      </w:r>
    </w:p>
    <w:p>
      <w:pPr>
        <w:spacing w:after="0" w:line="36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二、部门财政资金收支情况</w:t>
      </w:r>
    </w:p>
    <w:p>
      <w:pPr>
        <w:spacing w:after="0" w:line="36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（一）、部门财政资金收入情况</w:t>
      </w:r>
    </w:p>
    <w:p>
      <w:pPr>
        <w:spacing w:after="0" w:line="36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我院2020年部门财政资金收入共计869.91万元，其中:人员经费763.65万元（主要包括：基本工资、绩效工资、保险、住房公积金等）；日常公用经费40.58万元（主要包括：手续费、办公费、工会经费、福利费、水电等）；部门项目费用65.68万元（主要包括：办公设备购置、委托业务、劳务费、差旅费、公车运维费、专用材料费等）。</w:t>
      </w:r>
    </w:p>
    <w:p>
      <w:pPr>
        <w:spacing w:after="0" w:line="36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（二）、部门财政资金支出情况</w:t>
      </w:r>
    </w:p>
    <w:p>
      <w:pPr>
        <w:pStyle w:val="7"/>
        <w:adjustRightInd w:val="0"/>
        <w:snapToGrid w:val="0"/>
        <w:spacing w:beforeLines="0" w:line="360" w:lineRule="auto"/>
        <w:ind w:firstLine="672" w:firstLineChars="21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我院2020年部门财政资金支出共计869.91万元，其中：人员支出763.65万元，公用支出40.58万元。部门项目支出65.68万元。</w:t>
      </w:r>
    </w:p>
    <w:p>
      <w:pPr>
        <w:pStyle w:val="26"/>
        <w:numPr>
          <w:ilvl w:val="0"/>
          <w:numId w:val="6"/>
        </w:numPr>
        <w:spacing w:after="0" w:line="360" w:lineRule="auto"/>
        <w:ind w:firstLineChars="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部门整体预算绩效管理情况</w:t>
      </w:r>
    </w:p>
    <w:p>
      <w:pPr>
        <w:spacing w:after="0" w:line="36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（一）部门预算管理</w:t>
      </w:r>
    </w:p>
    <w:p>
      <w:pPr>
        <w:spacing w:after="0" w:line="360" w:lineRule="auto"/>
        <w:ind w:right="-197" w:rightChars="-94"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（1）目标制定</w:t>
      </w:r>
    </w:p>
    <w:p>
      <w:pPr>
        <w:spacing w:after="0" w:line="360" w:lineRule="auto"/>
        <w:ind w:right="-197" w:rightChars="-94"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我院对绩效目标从数量、质量、时效以及经济效益、社会效益、可持续影响、满意度等方面进行细化、量化。做到编制要素完整、绩效指标细化量化。</w:t>
      </w:r>
    </w:p>
    <w:p>
      <w:pPr>
        <w:spacing w:after="0" w:line="360" w:lineRule="auto"/>
        <w:ind w:right="-197" w:rightChars="-94"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（2）目标实现</w:t>
      </w:r>
    </w:p>
    <w:p>
      <w:pPr>
        <w:shd w:val="clear" w:color="auto" w:fill="FFFFFF"/>
        <w:spacing w:after="0" w:line="360" w:lineRule="auto"/>
        <w:ind w:firstLine="403"/>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我院2020年度圆满完成演出共计120场次。包括文化下基层、文化惠民、非遗展演、非遗驻场演出、大型剧目演出和政府指令性演出等。同时，部门整体支出均按预算的目标完成，严格按照财政的要求，按时发放人员工资，缴纳社会保险等。</w:t>
      </w:r>
    </w:p>
    <w:p>
      <w:pPr>
        <w:spacing w:after="0" w:line="360" w:lineRule="auto"/>
        <w:ind w:right="-197" w:rightChars="-94"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（3）编制准确</w:t>
      </w:r>
    </w:p>
    <w:p>
      <w:pPr>
        <w:spacing w:after="0" w:line="360" w:lineRule="auto"/>
        <w:ind w:right="-197" w:rightChars="-94"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部门财政资金收入方面：我院根据历年收入情况和下一</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"http://www.so.com/s?q=%E5%B9%B4%E5%BA%A6&amp;ie=utf-8&amp;src=internal_wenda_recommend_textn" \t "_blank"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年度</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收入增减变动因素，按收入</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"http://www.so.com/s?q=%E7%B1%BB%E5%88%AB&amp;ie=utf-8&amp;src=internal_wenda_recommend_textn" \t "_blank"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类别</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逐项测算、汇总、编制。部门财政资金支出方面：我院严格按照国家</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"http://www.so.com/s?q=%E7%BB%8F%E8%B4%B9&amp;ie=utf-8&amp;src=internal_wenda_recommend_textn" \t "_blank"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经费</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政策和规定发放人员经费和公用经费。</w:t>
      </w:r>
    </w:p>
    <w:p>
      <w:pPr>
        <w:spacing w:after="0" w:line="360" w:lineRule="auto"/>
        <w:ind w:right="-197" w:rightChars="-94"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（4）支出控制</w:t>
      </w:r>
    </w:p>
    <w:p>
      <w:pPr>
        <w:spacing w:after="0" w:line="360" w:lineRule="auto"/>
        <w:ind w:right="-197" w:rightChars="-94"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人员经费方面：财政供养人员控制在预算编制以内，编制内在职人员控制率达到100%。公用经费、项目支出方面：办公费、印刷费、水电费、物业管理费等均本着厉行节俭、只减不增的原则，严格执行经费标准和审批制度与程序，以上费用均得到了有效控制，控制较好。</w:t>
      </w:r>
    </w:p>
    <w:p>
      <w:pPr>
        <w:spacing w:after="0" w:line="360" w:lineRule="auto"/>
        <w:ind w:right="-197" w:rightChars="-94"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（5）执行进度</w:t>
      </w:r>
    </w:p>
    <w:p>
      <w:pPr>
        <w:spacing w:after="0" w:line="360" w:lineRule="auto"/>
        <w:ind w:right="-197" w:rightChars="-94"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部门预算实际执行进度在12月份达到100%，顺利完成执行进度。</w:t>
      </w:r>
    </w:p>
    <w:p>
      <w:pPr>
        <w:spacing w:after="0" w:line="360" w:lineRule="auto"/>
        <w:ind w:right="-197" w:rightChars="-94" w:firstLine="480" w:firstLineChars="15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（6）预算完成</w:t>
      </w:r>
    </w:p>
    <w:p>
      <w:pPr>
        <w:spacing w:after="0" w:line="360" w:lineRule="auto"/>
        <w:ind w:right="-197" w:rightChars="-94"/>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部门预算12月份预算完成率达到100%，预算完成较好。</w:t>
      </w:r>
    </w:p>
    <w:p>
      <w:pPr>
        <w:spacing w:after="0" w:line="36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四、评价结论及建议</w:t>
      </w:r>
    </w:p>
    <w:p>
      <w:pPr>
        <w:spacing w:after="0" w:line="36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（一）、评价结论</w:t>
      </w:r>
    </w:p>
    <w:p>
      <w:pPr>
        <w:spacing w:after="0" w:line="36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我院严格按照《四川省财政支出绩效评价操作规程》要求有序的开展绩效评价相关工作，坚持实事求是，客观深入开展评价。将部门整体支出绩效自评作为加强预算管理、提高服务效能的重要手段，进一步推动提高部门整体绩效水平。</w:t>
      </w:r>
    </w:p>
    <w:p>
      <w:pPr>
        <w:spacing w:after="0" w:line="36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（二）、改进建议</w:t>
      </w:r>
    </w:p>
    <w:p>
      <w:pPr>
        <w:widowControl w:val="0"/>
        <w:adjustRightInd/>
        <w:snapToGrid/>
        <w:spacing w:after="0" w:line="360" w:lineRule="auto"/>
        <w:ind w:firstLine="480" w:firstLineChars="150"/>
        <w:jc w:val="both"/>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（1）细化预算编制工作，认真做好预算的编制。</w:t>
      </w:r>
    </w:p>
    <w:p>
      <w:pPr>
        <w:spacing w:after="0" w:line="36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进一步加强内部机构各处室的预算管理意识，严格按照预算编制的相关制度和要求，公用经费根据单位的年度工作重点本着“勤俭节约、保障运转”的原则进行预算的编制；编制范围尽可能的全面，不漏项；杜绝预算编制粗放现象的发生，进一步提高预算编制的科学性、合理性、严谨性和可控性。</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360" w:lineRule="auto"/>
        <w:ind w:firstLine="480" w:firstLineChars="150"/>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加强财务管理，严格财务审核，提高财务的精细化管理。在费用报账支付时，按照预算规定的费用项目和用途进行资金使用的审核，在预算金额内严格控制费用的支出，控制超支等现象的发生；严格按照实际的费用支出内容进行财务核算，确保财务核算的真实、及时、准确、完整。</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7"/>
          <w:rFonts w:hint="eastAsia"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b w:val="0"/>
        </w:rPr>
        <w:t>五部分 附表</w:t>
      </w:r>
      <w:bookmarkEnd w:id="51"/>
      <w:bookmarkEnd w:id="53"/>
      <w:bookmarkStart w:id="54" w:name="_Toc15396619"/>
    </w:p>
    <w:p>
      <w:pPr>
        <w:pStyle w:val="4"/>
        <w:rPr>
          <w:rFonts w:ascii="仿宋" w:hAnsi="仿宋" w:eastAsia="仿宋"/>
          <w:color w:val="000000"/>
        </w:rPr>
      </w:pPr>
      <w:r>
        <w:rPr>
          <w:rFonts w:hint="eastAsia" w:ascii="仿宋" w:hAnsi="仿宋" w:eastAsia="仿宋"/>
          <w:b w:val="0"/>
          <w:color w:val="000000"/>
        </w:rPr>
        <w:t>一、收</w:t>
      </w:r>
      <w:r>
        <w:rPr>
          <w:rStyle w:val="28"/>
          <w:rFonts w:hint="eastAsia" w:ascii="仿宋" w:hAnsi="仿宋" w:eastAsia="仿宋"/>
          <w:b w:val="0"/>
          <w:bCs w:val="0"/>
        </w:rPr>
        <w:t>入支出决算总表</w:t>
      </w:r>
      <w:bookmarkEnd w:id="54"/>
    </w:p>
    <w:p>
      <w:pPr>
        <w:pStyle w:val="4"/>
        <w:rPr>
          <w:rFonts w:ascii="仿宋" w:hAnsi="仿宋" w:eastAsia="仿宋"/>
          <w:color w:val="000000"/>
        </w:rPr>
      </w:pPr>
      <w:bookmarkStart w:id="55"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55"/>
    </w:p>
    <w:p>
      <w:pPr>
        <w:pStyle w:val="4"/>
        <w:rPr>
          <w:rFonts w:ascii="仿宋" w:hAnsi="仿宋" w:eastAsia="仿宋"/>
          <w:color w:val="000000"/>
        </w:rPr>
      </w:pPr>
      <w:bookmarkStart w:id="56"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56"/>
    </w:p>
    <w:p>
      <w:pPr>
        <w:pStyle w:val="4"/>
        <w:rPr>
          <w:rFonts w:ascii="仿宋" w:hAnsi="仿宋" w:eastAsia="仿宋"/>
          <w:b w:val="0"/>
          <w:color w:val="000000"/>
        </w:rPr>
      </w:pPr>
      <w:bookmarkStart w:id="57"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color w:val="000000"/>
        </w:rPr>
      </w:pPr>
      <w:bookmarkStart w:id="60"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color w:val="000000"/>
        </w:rPr>
      </w:pPr>
      <w:bookmarkStart w:id="61"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color w:val="000000"/>
        </w:rPr>
      </w:pPr>
      <w:bookmarkStart w:id="62"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color w:val="000000"/>
        </w:rPr>
      </w:pPr>
      <w:bookmarkStart w:id="63"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3"/>
    </w:p>
    <w:p>
      <w:pPr>
        <w:pStyle w:val="4"/>
        <w:rPr>
          <w:rFonts w:ascii="仿宋" w:hAnsi="仿宋" w:eastAsia="仿宋"/>
          <w:color w:val="000000"/>
        </w:rPr>
      </w:pPr>
      <w:bookmarkStart w:id="64"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64"/>
    </w:p>
    <w:p>
      <w:pPr>
        <w:pStyle w:val="4"/>
        <w:rPr>
          <w:rFonts w:ascii="仿宋" w:hAnsi="仿宋" w:eastAsia="仿宋"/>
          <w:color w:val="000000"/>
        </w:rPr>
      </w:pPr>
      <w:bookmarkStart w:id="65"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65"/>
    </w:p>
    <w:p>
      <w:pPr>
        <w:pStyle w:val="4"/>
        <w:rPr>
          <w:rStyle w:val="28"/>
          <w:rFonts w:hint="eastAsia" w:ascii="仿宋" w:hAnsi="仿宋" w:eastAsia="仿宋"/>
          <w:b w:val="0"/>
          <w:bCs w:val="0"/>
        </w:rPr>
      </w:pPr>
      <w:bookmarkStart w:id="66"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w:t>
      </w:r>
      <w:r>
        <w:rPr>
          <w:rStyle w:val="28"/>
          <w:rFonts w:hint="eastAsia" w:ascii="仿宋" w:hAnsi="仿宋" w:eastAsia="仿宋"/>
          <w:b w:val="0"/>
          <w:bCs w:val="0"/>
          <w:lang w:eastAsia="zh-CN"/>
        </w:rPr>
        <w:t>财政拨款收入</w:t>
      </w:r>
      <w:r>
        <w:rPr>
          <w:rStyle w:val="28"/>
          <w:rFonts w:hint="eastAsia" w:ascii="仿宋" w:hAnsi="仿宋" w:eastAsia="仿宋"/>
          <w:b w:val="0"/>
          <w:bCs w:val="0"/>
        </w:rPr>
        <w:t>支出决算表</w:t>
      </w:r>
      <w:bookmarkEnd w:id="66"/>
    </w:p>
    <w:p>
      <w:pPr>
        <w:rPr>
          <w:rFonts w:hint="eastAsia" w:eastAsia="仿宋"/>
          <w:lang w:eastAsia="zh-CN"/>
        </w:rPr>
      </w:pPr>
      <w:r>
        <w:rPr>
          <w:rStyle w:val="28"/>
          <w:rFonts w:hint="eastAsia" w:ascii="仿宋" w:hAnsi="仿宋" w:eastAsia="仿宋"/>
          <w:b w:val="0"/>
          <w:bCs w:val="0"/>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4D797F"/>
    <w:multiLevelType w:val="singleLevel"/>
    <w:tmpl w:val="C64D797F"/>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0AE4E906"/>
    <w:multiLevelType w:val="singleLevel"/>
    <w:tmpl w:val="0AE4E906"/>
    <w:lvl w:ilvl="0" w:tentative="0">
      <w:start w:val="10"/>
      <w:numFmt w:val="decimal"/>
      <w:lvlText w:val="%1."/>
      <w:lvlJc w:val="left"/>
      <w:pPr>
        <w:tabs>
          <w:tab w:val="left" w:pos="312"/>
        </w:tabs>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4E95A96"/>
    <w:multiLevelType w:val="multilevel"/>
    <w:tmpl w:val="14E95A96"/>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327914"/>
    <w:multiLevelType w:val="singleLevel"/>
    <w:tmpl w:val="5B327914"/>
    <w:lvl w:ilvl="0" w:tentative="0">
      <w:start w:val="2"/>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D6A540A"/>
    <w:rsid w:val="10C055FF"/>
    <w:rsid w:val="118107EC"/>
    <w:rsid w:val="13962BE7"/>
    <w:rsid w:val="16BB723D"/>
    <w:rsid w:val="18015F3F"/>
    <w:rsid w:val="1BE8440E"/>
    <w:rsid w:val="1D155CEE"/>
    <w:rsid w:val="20F57F95"/>
    <w:rsid w:val="2375415B"/>
    <w:rsid w:val="240371BF"/>
    <w:rsid w:val="25B138D3"/>
    <w:rsid w:val="27842671"/>
    <w:rsid w:val="29FD04D3"/>
    <w:rsid w:val="2ABE7A3E"/>
    <w:rsid w:val="2B0642D0"/>
    <w:rsid w:val="319F7F4E"/>
    <w:rsid w:val="35850829"/>
    <w:rsid w:val="3A466ED5"/>
    <w:rsid w:val="3C0C0783"/>
    <w:rsid w:val="44EC7FAB"/>
    <w:rsid w:val="493C27E9"/>
    <w:rsid w:val="496F39ED"/>
    <w:rsid w:val="49FF41D3"/>
    <w:rsid w:val="4BE068DB"/>
    <w:rsid w:val="4BF6002B"/>
    <w:rsid w:val="4ECE2238"/>
    <w:rsid w:val="57652477"/>
    <w:rsid w:val="61D74D42"/>
    <w:rsid w:val="64CA39A1"/>
    <w:rsid w:val="6C4A05C8"/>
    <w:rsid w:val="72734D90"/>
    <w:rsid w:val="7BB101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6">
    <w:name w:val="Body Text 3"/>
    <w:basedOn w:val="1"/>
    <w:unhideWhenUsed/>
    <w:qFormat/>
    <w:uiPriority w:val="99"/>
    <w:pPr>
      <w:spacing w:after="120" w:afterLines="0" w:afterAutospacing="0"/>
    </w:pPr>
    <w:rPr>
      <w:sz w:val="16"/>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a:t>
            </a:r>
            <a:r>
              <a:t>收、支决算总计变动表</a:t>
            </a:r>
            <a:r>
              <a:rPr lang="en-US" altLang="zh-CN"/>
              <a:t>    </a:t>
            </a:r>
            <a:r>
              <a:rPr altLang="en-US"/>
              <a:t>单位：万元</a:t>
            </a:r>
            <a:endParaRPr lang="en-US" altLang="zh-CN"/>
          </a:p>
        </c:rich>
      </c:tx>
      <c:layout>
        <c:manualLayout>
          <c:xMode val="edge"/>
          <c:yMode val="edge"/>
          <c:x val="0.115250369177071"/>
          <c:y val="0.0516032064128257"/>
        </c:manualLayout>
      </c:layout>
      <c:overlay val="0"/>
      <c:spPr>
        <a:noFill/>
        <a:ln>
          <a:noFill/>
        </a:ln>
        <a:effectLst/>
      </c:spPr>
    </c:title>
    <c:autoTitleDeleted val="0"/>
    <c:plotArea>
      <c:layout>
        <c:manualLayout>
          <c:layoutTarget val="inner"/>
          <c:xMode val="edge"/>
          <c:yMode val="edge"/>
          <c:x val="0.0516310914216673"/>
          <c:y val="0.186372745490982"/>
          <c:w val="0.922593636729762"/>
          <c:h val="0.573997995991984"/>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收、支决算总计</c:v>
                </c:pt>
              </c:strCache>
            </c:strRef>
          </c:cat>
          <c:val>
            <c:numRef>
              <c:f>Sheet1!$B$2</c:f>
              <c:numCache>
                <c:formatCode>General</c:formatCode>
                <c:ptCount val="1"/>
                <c:pt idx="0">
                  <c:v>2129.71</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收、支决算总计</c:v>
                </c:pt>
              </c:strCache>
            </c:strRef>
          </c:cat>
          <c:val>
            <c:numRef>
              <c:f>Sheet1!$C$2</c:f>
              <c:numCache>
                <c:formatCode>General</c:formatCode>
                <c:ptCount val="1"/>
                <c:pt idx="0">
                  <c:v>1732.85</c:v>
                </c:pt>
              </c:numCache>
            </c:numRef>
          </c:val>
        </c:ser>
        <c:dLbls>
          <c:showLegendKey val="0"/>
          <c:showVal val="1"/>
          <c:showCatName val="0"/>
          <c:showSerName val="0"/>
          <c:showPercent val="0"/>
          <c:showBubbleSize val="0"/>
        </c:dLbls>
        <c:gapWidth val="219"/>
        <c:overlap val="-27"/>
        <c:axId val="725471255"/>
        <c:axId val="882213268"/>
      </c:barChart>
      <c:catAx>
        <c:axId val="7254712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2213268"/>
        <c:crosses val="autoZero"/>
        <c:auto val="1"/>
        <c:lblAlgn val="ctr"/>
        <c:lblOffset val="100"/>
        <c:noMultiLvlLbl val="0"/>
      </c:catAx>
      <c:valAx>
        <c:axId val="8822132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54712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：收入决算结构图</a:t>
            </a:r>
            <a:r>
              <a:rPr lang="en-US" altLang="zh-CN"/>
              <a:t>  </a:t>
            </a:r>
            <a:r>
              <a:rPr altLang="en-US"/>
              <a:t>单位：万元</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1567.48</c:v>
                </c:pt>
                <c:pt idx="1">
                  <c:v>165.37</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rPr altLang="en-US"/>
              <a:t>：</a:t>
            </a:r>
            <a:r>
              <a:t>支出决算结构图</a:t>
            </a:r>
            <a:r>
              <a:rPr lang="en-US" altLang="zh-CN"/>
              <a:t>    </a:t>
            </a:r>
            <a:r>
              <a:rPr altLang="en-US"/>
              <a:t>单位：万元</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973.49</c:v>
                </c:pt>
                <c:pt idx="1">
                  <c:v>759.36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t>财政拨款收、支决算总计变动表</a:t>
            </a:r>
            <a:r>
              <a:rPr lang="en-US" altLang="zh-CN"/>
              <a:t>  </a:t>
            </a:r>
            <a:r>
              <a:rPr altLang="en-US"/>
              <a:t>单位</a:t>
            </a:r>
            <a:r>
              <a:rPr lang="en-US" altLang="zh-CN"/>
              <a:t>:</a:t>
            </a:r>
            <a:r>
              <a:rPr altLang="en-US"/>
              <a:t>万元</a:t>
            </a:r>
            <a:endParaRPr lang="en-US" altLang="zh-CN"/>
          </a:p>
        </c:rich>
      </c:tx>
      <c:layout>
        <c:manualLayout>
          <c:xMode val="edge"/>
          <c:yMode val="edge"/>
          <c:x val="0.115384615384616"/>
          <c:y val="0.0576152304609218"/>
        </c:manualLayout>
      </c:layout>
      <c:overlay val="0"/>
      <c:spPr>
        <a:noFill/>
        <a:ln>
          <a:noFill/>
        </a:ln>
        <a:effectLst/>
      </c:spPr>
    </c:title>
    <c:autoTitleDeleted val="0"/>
    <c:plotArea>
      <c:layout>
        <c:manualLayout>
          <c:layoutTarget val="inner"/>
          <c:xMode val="edge"/>
          <c:yMode val="edge"/>
          <c:x val="0.0751241777419788"/>
          <c:y val="0.215931863727455"/>
          <c:w val="0.922593636729762"/>
          <c:h val="0.573997995991984"/>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收、支决算总计</c:v>
                </c:pt>
              </c:strCache>
            </c:strRef>
          </c:cat>
          <c:val>
            <c:numRef>
              <c:f>Sheet1!$B$2</c:f>
              <c:numCache>
                <c:formatCode>General</c:formatCode>
                <c:ptCount val="1"/>
                <c:pt idx="0">
                  <c:v>2038.49</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收、支决算总计</c:v>
                </c:pt>
              </c:strCache>
            </c:strRef>
          </c:cat>
          <c:val>
            <c:numRef>
              <c:f>Sheet1!$C$2</c:f>
              <c:numCache>
                <c:formatCode>General</c:formatCode>
                <c:ptCount val="1"/>
                <c:pt idx="0">
                  <c:v>1567.48</c:v>
                </c:pt>
              </c:numCache>
            </c:numRef>
          </c:val>
        </c:ser>
        <c:dLbls>
          <c:showLegendKey val="0"/>
          <c:showVal val="1"/>
          <c:showCatName val="0"/>
          <c:showSerName val="0"/>
          <c:showPercent val="0"/>
          <c:showBubbleSize val="0"/>
        </c:dLbls>
        <c:gapWidth val="219"/>
        <c:overlap val="-27"/>
        <c:axId val="725471255"/>
        <c:axId val="882213268"/>
      </c:barChart>
      <c:catAx>
        <c:axId val="7254712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2213268"/>
        <c:crosses val="autoZero"/>
        <c:auto val="1"/>
        <c:lblAlgn val="ctr"/>
        <c:lblOffset val="100"/>
        <c:noMultiLvlLbl val="0"/>
      </c:catAx>
      <c:valAx>
        <c:axId val="8822132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54712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图五：一般公共预算财政拨款支出决算变动表</a:t>
            </a:r>
          </a:p>
        </c:rich>
      </c:tx>
      <c:layout>
        <c:manualLayout>
          <c:xMode val="edge"/>
          <c:yMode val="edge"/>
          <c:x val="0.129480467176803"/>
          <c:y val="0.0275551102204409"/>
        </c:manualLayout>
      </c:layout>
      <c:overlay val="0"/>
      <c:spPr>
        <a:noFill/>
        <a:ln>
          <a:noFill/>
        </a:ln>
        <a:effectLst/>
      </c:spPr>
    </c:title>
    <c:autoTitleDeleted val="0"/>
    <c:plotArea>
      <c:layout>
        <c:manualLayout>
          <c:layoutTarget val="inner"/>
          <c:xMode val="edge"/>
          <c:yMode val="edge"/>
          <c:x val="0.0751241777419788"/>
          <c:y val="0.222945891783567"/>
          <c:w val="0.922593636729762"/>
          <c:h val="0.573997995991984"/>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收、支决算总计</c:v>
                </c:pt>
              </c:strCache>
            </c:strRef>
          </c:cat>
          <c:val>
            <c:numRef>
              <c:f>Sheet1!$B$2</c:f>
              <c:numCache>
                <c:formatCode>General</c:formatCode>
                <c:ptCount val="1"/>
                <c:pt idx="0">
                  <c:v>2038.49</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收、支决算总计</c:v>
                </c:pt>
              </c:strCache>
            </c:strRef>
          </c:cat>
          <c:val>
            <c:numRef>
              <c:f>Sheet1!$C$2</c:f>
              <c:numCache>
                <c:formatCode>General</c:formatCode>
                <c:ptCount val="1"/>
                <c:pt idx="0">
                  <c:v>1567.48</c:v>
                </c:pt>
              </c:numCache>
            </c:numRef>
          </c:val>
        </c:ser>
        <c:dLbls>
          <c:showLegendKey val="0"/>
          <c:showVal val="1"/>
          <c:showCatName val="0"/>
          <c:showSerName val="0"/>
          <c:showPercent val="0"/>
          <c:showBubbleSize val="0"/>
        </c:dLbls>
        <c:gapWidth val="219"/>
        <c:overlap val="-27"/>
        <c:axId val="725471255"/>
        <c:axId val="882213268"/>
      </c:barChart>
      <c:catAx>
        <c:axId val="7254712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2213268"/>
        <c:crosses val="autoZero"/>
        <c:auto val="1"/>
        <c:lblAlgn val="ctr"/>
        <c:lblOffset val="100"/>
        <c:noMultiLvlLbl val="0"/>
      </c:catAx>
      <c:valAx>
        <c:axId val="8822132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54712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文化旅游体育与传媒（类）</c:v>
                </c:pt>
                <c:pt idx="1">
                  <c:v>社会保障和就业（类）</c:v>
                </c:pt>
                <c:pt idx="2">
                  <c:v>卫生健康支出</c:v>
                </c:pt>
                <c:pt idx="3">
                  <c:v>住房保障支出</c:v>
                </c:pt>
              </c:strCache>
            </c:strRef>
          </c:cat>
          <c:val>
            <c:numRef>
              <c:f>Sheet1!$B$2:$B$5</c:f>
              <c:numCache>
                <c:formatCode>#,##0.00</c:formatCode>
                <c:ptCount val="4"/>
                <c:pt idx="0">
                  <c:v>1233.15</c:v>
                </c:pt>
                <c:pt idx="1" c:formatCode="General">
                  <c:v>215.33</c:v>
                </c:pt>
                <c:pt idx="2" c:formatCode="General">
                  <c:v>65</c:v>
                </c:pt>
                <c:pt idx="3" c:formatCode="General">
                  <c:v>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0.47</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7</TotalTime>
  <ScaleCrop>false</ScaleCrop>
  <LinksUpToDate>false</LinksUpToDate>
  <CharactersWithSpaces>8692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2021-08-17T08:06:00Z</cp:lastPrinted>
  <dcterms:modified xsi:type="dcterms:W3CDTF">2021-09-09T07:04:37Z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y fmtid="{D5CDD505-2E9C-101B-9397-08002B2CF9AE}" pid="3" name="ICV">
    <vt:lpwstr>E8281CB8E75047B3BC06FDF547216885</vt:lpwstr>
  </property>
</Properties>
</file>